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8F01" w14:textId="77777777" w:rsidR="00BC5817" w:rsidRPr="005719FF" w:rsidRDefault="00BE03D9" w:rsidP="00CC2F43">
      <w:pPr>
        <w:ind w:left="284" w:right="340"/>
        <w:jc w:val="center"/>
        <w:rPr>
          <w:rFonts w:ascii="Book Antiqua" w:hAnsi="Book Antiqua" w:cs="Calibri Light"/>
          <w:color w:val="404040" w:themeColor="text1" w:themeTint="BF"/>
        </w:rPr>
      </w:pPr>
      <w:r w:rsidRPr="005719FF">
        <w:rPr>
          <w:rFonts w:ascii="Book Antiqua" w:hAnsi="Book Antiqua" w:cs="Calibri Light"/>
          <w:color w:val="404040" w:themeColor="text1" w:themeTint="BF"/>
        </w:rPr>
        <w:t>COMUNICATO STAMPA</w:t>
      </w:r>
    </w:p>
    <w:p w14:paraId="41F5C72A" w14:textId="77777777" w:rsidR="00982147" w:rsidRPr="005719FF" w:rsidRDefault="00982147" w:rsidP="00CC2F43">
      <w:pPr>
        <w:spacing w:line="247" w:lineRule="auto"/>
        <w:ind w:left="284" w:right="340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</w:p>
    <w:p w14:paraId="7DDDB1F5" w14:textId="7FE884F0" w:rsidR="006759AB" w:rsidRDefault="00047BC3" w:rsidP="006759AB">
      <w:pPr>
        <w:spacing w:line="247" w:lineRule="auto"/>
        <w:ind w:left="284" w:right="340"/>
        <w:jc w:val="center"/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</w:pPr>
      <w:r w:rsidRPr="003301C5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Anziani</w:t>
      </w:r>
      <w:r w:rsidR="0063451A" w:rsidRPr="003301C5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 e virus respiratori</w:t>
      </w:r>
      <w:r w:rsidR="00EF07A6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:</w:t>
      </w:r>
      <w:r w:rsidR="003032BF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 </w:t>
      </w:r>
      <w:r w:rsidR="006759AB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p</w:t>
      </w:r>
      <w:r w:rsidR="007448B5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untare</w:t>
      </w:r>
      <w:r w:rsidR="006759AB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 alla </w:t>
      </w:r>
      <w:r w:rsidR="003032BF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‘presa in carico vaccinale’ per </w:t>
      </w:r>
      <w:r w:rsidR="006759AB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aumentare le coperture e </w:t>
      </w:r>
      <w:r w:rsidR="003032BF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ridurre </w:t>
      </w:r>
      <w:r w:rsidR="006759AB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disabilità e decessi</w:t>
      </w:r>
    </w:p>
    <w:p w14:paraId="06ACE8FC" w14:textId="77777777" w:rsidR="006759AB" w:rsidRPr="006759AB" w:rsidRDefault="006759AB" w:rsidP="006759AB">
      <w:pPr>
        <w:spacing w:line="247" w:lineRule="auto"/>
        <w:ind w:left="284" w:right="340"/>
        <w:jc w:val="center"/>
        <w:rPr>
          <w:rFonts w:ascii="Book Antiqua" w:hAnsi="Book Antiqua" w:cstheme="minorHAnsi"/>
          <w:b/>
          <w:bCs/>
          <w:color w:val="404040" w:themeColor="text1" w:themeTint="BF"/>
          <w:sz w:val="6"/>
          <w:szCs w:val="6"/>
        </w:rPr>
      </w:pPr>
    </w:p>
    <w:p w14:paraId="396527BD" w14:textId="2B780780" w:rsidR="00A70D32" w:rsidRPr="003D0786" w:rsidRDefault="003301C5" w:rsidP="006759AB">
      <w:pPr>
        <w:spacing w:line="247" w:lineRule="auto"/>
        <w:ind w:left="284" w:right="340"/>
        <w:jc w:val="center"/>
        <w:rPr>
          <w:rFonts w:ascii="Book Antiqua" w:hAnsi="Book Antiqua" w:cstheme="minorHAnsi"/>
          <w:b/>
          <w:bCs/>
          <w:color w:val="404040" w:themeColor="text1" w:themeTint="BF"/>
          <w:sz w:val="23"/>
          <w:szCs w:val="23"/>
        </w:rPr>
      </w:pPr>
      <w:r w:rsidRPr="003D0786">
        <w:rPr>
          <w:rFonts w:ascii="Book Antiqua" w:hAnsi="Book Antiqua" w:cstheme="minorHAnsi"/>
          <w:b/>
          <w:bCs/>
          <w:color w:val="404040" w:themeColor="text1" w:themeTint="BF"/>
          <w:sz w:val="23"/>
          <w:szCs w:val="23"/>
        </w:rPr>
        <w:t xml:space="preserve">Bernabei, Italia Longeva: </w:t>
      </w:r>
      <w:r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>“N</w:t>
      </w:r>
      <w:r w:rsidR="00A70D32"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 xml:space="preserve">ecessario un cambio </w:t>
      </w:r>
      <w:r w:rsidR="00DC3016"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>culturale</w:t>
      </w:r>
      <w:r w:rsidR="00A70D32"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 xml:space="preserve">. La vaccinazione è l’investimento </w:t>
      </w:r>
      <w:r w:rsidR="000B68A5"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>che</w:t>
      </w:r>
      <w:r w:rsidR="00A70D32" w:rsidRPr="003D0786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3"/>
          <w:szCs w:val="23"/>
        </w:rPr>
        <w:t xml:space="preserve"> genera salute” </w:t>
      </w:r>
    </w:p>
    <w:p w14:paraId="6B4B6434" w14:textId="77777777" w:rsidR="003032BF" w:rsidRDefault="003032BF" w:rsidP="006759AB">
      <w:pPr>
        <w:spacing w:line="247" w:lineRule="auto"/>
        <w:ind w:right="311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</w:p>
    <w:p w14:paraId="35EF3BAF" w14:textId="77777777" w:rsidR="00E064E1" w:rsidRPr="007A6F4B" w:rsidRDefault="00E064E1" w:rsidP="003301C5">
      <w:pPr>
        <w:spacing w:after="120"/>
        <w:ind w:right="340"/>
        <w:jc w:val="both"/>
        <w:rPr>
          <w:rFonts w:ascii="Book Antiqua" w:hAnsi="Book Antiqua" w:cs="Calibri Light"/>
          <w:color w:val="404040" w:themeColor="text1" w:themeTint="BF"/>
          <w:sz w:val="13"/>
          <w:szCs w:val="13"/>
        </w:rPr>
      </w:pPr>
    </w:p>
    <w:p w14:paraId="6223066D" w14:textId="33323828" w:rsidR="003E1D53" w:rsidRDefault="00DB01BC" w:rsidP="001D2C4E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Roma, </w:t>
      </w:r>
      <w:r w:rsidR="009B40A1"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>16</w:t>
      </w:r>
      <w:r w:rsidR="00752594"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9B40A1"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>ottobre</w:t>
      </w:r>
      <w:r w:rsidR="0038269D"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202</w:t>
      </w:r>
      <w:r w:rsidR="002414D6" w:rsidRPr="00B929FC">
        <w:rPr>
          <w:rFonts w:ascii="Book Antiqua" w:hAnsi="Book Antiqua" w:cs="Calibri Light"/>
          <w:color w:val="404040" w:themeColor="text1" w:themeTint="BF"/>
          <w:sz w:val="21"/>
          <w:szCs w:val="21"/>
        </w:rPr>
        <w:t>4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791D2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–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Degli 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oltre 18 milioni di over</w:t>
      </w:r>
      <w:r w:rsidR="000B68A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-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60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eleggibili alla 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vaccinazione antinfluenzale e anti-Covid</w:t>
      </w:r>
      <w:r w:rsidR="00F45EF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-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19</w:t>
      </w:r>
      <w:r w:rsidR="00F45EF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D4118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lo scorso anno si è vaccinato </w:t>
      </w:r>
      <w:r w:rsidR="007A0839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rispettivamente </w:t>
      </w:r>
      <w:r w:rsidR="00F45EF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solo 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il 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47%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</w:t>
      </w:r>
      <w:r w:rsidR="00FB389D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il 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18</w:t>
      </w:r>
      <w:r w:rsidR="003E1D5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%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>, a</w:t>
      </w:r>
      <w:r w:rsidR="008E15AF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8E15AF" w:rsidRP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dispetto di una copertura 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>minima raccomandata del 75%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>.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Sottoutilizzata anche la vaccinazione per proteggersi dalla </w:t>
      </w:r>
      <w:r w:rsidR="008E15A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polmonite</w:t>
      </w:r>
      <w:r w:rsidR="008E15AF" w:rsidRPr="008E15A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pneumococcica</w:t>
      </w:r>
      <w:r w:rsidR="008E15AF" w:rsidRPr="000A1FF3">
        <w:rPr>
          <w:rFonts w:ascii="Book Antiqua" w:hAnsi="Book Antiqua" w:cs="Calibri Light"/>
          <w:color w:val="404040" w:themeColor="text1" w:themeTint="BF"/>
          <w:sz w:val="21"/>
          <w:szCs w:val="21"/>
        </w:rPr>
        <w:t>,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cui ha aderito poco più del </w:t>
      </w:r>
      <w:r w:rsidR="008E15AF" w:rsidRPr="008E15A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25%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</w:t>
      </w:r>
      <w:r w:rsidR="00F6088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gli oltre </w:t>
      </w:r>
      <w:r w:rsidR="00F6088B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750mila </w:t>
      </w:r>
      <w:r w:rsidR="008E15A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65enni </w:t>
      </w:r>
      <w:r w:rsidR="008E15AF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>ai quali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viene</w:t>
      </w:r>
      <w:r w:rsidR="008E15AF" w:rsidRP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raccomandata e offerta gratuitamente dal Servizio Sanitario Nazionale (SSN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>)</w:t>
      </w:r>
      <w:r w:rsidR="008E15AF" w:rsidRPr="00C3555B">
        <w:rPr>
          <w:rFonts w:ascii="Book Antiqua" w:hAnsi="Book Antiqua" w:cs="Calibri Light"/>
          <w:color w:val="404040" w:themeColor="text1" w:themeTint="BF"/>
          <w:sz w:val="21"/>
          <w:szCs w:val="21"/>
          <w:vertAlign w:val="superscript"/>
        </w:rPr>
        <w:t>1</w:t>
      </w:r>
      <w:r w:rsidR="008E15A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  <w:r w:rsidR="001D2C4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Eppure, </w:t>
      </w:r>
      <w:r w:rsidR="001D2C4E" w:rsidRPr="001D2C4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per gli over-65, lo pneumococco risulta la causa più comune di polmonite, con una letalità del </w:t>
      </w:r>
      <w:r w:rsidR="001D2C4E" w:rsidRPr="001D2C4E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20-40</w:t>
      </w:r>
      <w:r w:rsidR="001D2C4E" w:rsidRPr="001D2C4E">
        <w:rPr>
          <w:rFonts w:ascii="Book Antiqua" w:hAnsi="Book Antiqua" w:cs="Calibri Light"/>
          <w:color w:val="404040" w:themeColor="text1" w:themeTint="BF"/>
          <w:sz w:val="21"/>
          <w:szCs w:val="21"/>
        </w:rPr>
        <w:t>%</w:t>
      </w:r>
      <w:r w:rsidR="001D2C4E" w:rsidRPr="001D2C4E">
        <w:rPr>
          <w:rFonts w:ascii="Book Antiqua" w:hAnsi="Book Antiqua" w:cs="Calibri Light"/>
          <w:color w:val="404040" w:themeColor="text1" w:themeTint="BF"/>
          <w:sz w:val="21"/>
          <w:szCs w:val="21"/>
          <w:vertAlign w:val="superscript"/>
        </w:rPr>
        <w:t>2</w:t>
      </w:r>
      <w:r w:rsidR="001D2C4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  <w:r w:rsidR="00F45EF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Preoccupa poi </w:t>
      </w:r>
      <w:r w:rsid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il </w:t>
      </w:r>
      <w:r w:rsidR="003E1D53" w:rsidRPr="00FB389D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Virus Respiratorio Sinciziale</w:t>
      </w:r>
      <w:r w:rsid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(VRS), tra 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le infezioni che nella </w:t>
      </w:r>
      <w:r w:rsid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precedente 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>stagione</w:t>
      </w:r>
      <w:r w:rsid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invernale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hanno avuto un maggior impatto </w:t>
      </w:r>
      <w:r w:rsid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>su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gli 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>anziani e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>pazienti cronici,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nei quali rappresenta la seconda causa più comune di polmonite virale. In Italia si stimano ogni anno circa </w:t>
      </w:r>
      <w:r w:rsidR="003E1D53" w:rsidRPr="00C3555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290.000 </w:t>
      </w:r>
      <w:r w:rsidR="003E1D53" w:rsidRP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>casi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di infezione respiratoria acuta</w:t>
      </w:r>
      <w:r w:rsid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da </w:t>
      </w:r>
      <w:r w:rsid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>VRS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negli over-60 che causano oltre </w:t>
      </w:r>
      <w:r w:rsidR="003E1D53" w:rsidRPr="00C3555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25mila ricoveri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circa </w:t>
      </w:r>
      <w:r w:rsidR="003E1D53" w:rsidRPr="00C3555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2mila decessi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intra ospedalieri</w:t>
      </w:r>
      <w:r w:rsidR="001D2C4E">
        <w:rPr>
          <w:rFonts w:ascii="Book Antiqua" w:hAnsi="Book Antiqua" w:cs="Calibri Light"/>
          <w:color w:val="404040" w:themeColor="text1" w:themeTint="BF"/>
          <w:sz w:val="21"/>
          <w:szCs w:val="21"/>
          <w:vertAlign w:val="superscript"/>
        </w:rPr>
        <w:t>3</w:t>
      </w:r>
      <w:r w:rsidR="003E1D53" w:rsidRPr="003E1D5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</w:p>
    <w:p w14:paraId="1DE22A57" w14:textId="67140881" w:rsidR="000A1FF3" w:rsidRDefault="00F45EF5" w:rsidP="000A1FF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È questo l’impatto </w:t>
      </w:r>
      <w:r w:rsid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epidemiologico, sanitario e sociale 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delle principali </w:t>
      </w:r>
      <w:r w:rsidRPr="00CF5A21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malattie respiratorie vaccino</w:t>
      </w:r>
      <w:r w:rsidR="00C3555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-</w:t>
      </w:r>
      <w:r w:rsidRPr="00CF5A21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prevenibili nell’anziano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fotografato </w:t>
      </w:r>
      <w:r w:rsidR="001D2C4E">
        <w:rPr>
          <w:rFonts w:ascii="Book Antiqua" w:hAnsi="Book Antiqua" w:cs="Calibri Light"/>
          <w:color w:val="404040" w:themeColor="text1" w:themeTint="BF"/>
          <w:sz w:val="21"/>
          <w:szCs w:val="21"/>
        </w:rPr>
        <w:t>nel corso del</w:t>
      </w:r>
      <w:r w:rsidR="00C3555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Convegno di </w:t>
      </w:r>
      <w:r w:rsidRPr="00CF5A21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Italia Longeva</w:t>
      </w:r>
      <w:r w:rsidR="00CF5A21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l’Associazione Nazionale per l’invecchiamento e la longevità attiva del Ministero della Salute, </w:t>
      </w:r>
      <w:r w:rsidR="000A1FF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che ha riunito 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oggi </w:t>
      </w:r>
      <w:r w:rsidR="000A1FF3">
        <w:rPr>
          <w:rFonts w:ascii="Book Antiqua" w:hAnsi="Book Antiqua" w:cs="Calibri Light"/>
          <w:color w:val="404040" w:themeColor="text1" w:themeTint="BF"/>
          <w:sz w:val="21"/>
          <w:szCs w:val="21"/>
        </w:rPr>
        <w:t>a Roma istituzioni, professionisti ed esperti sanitari per condividere - come recita il titolo dell’incontro – evidenze, strategie e best practice per la</w:t>
      </w:r>
      <w:r w:rsidR="005D16DD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“</w:t>
      </w:r>
      <w:r w:rsidR="005D16DD" w:rsidRPr="005D16DD">
        <w:rPr>
          <w:rFonts w:ascii="Book Antiqua" w:hAnsi="Book Antiqua" w:cs="Calibri Light"/>
          <w:b/>
          <w:bCs/>
          <w:i/>
          <w:iCs/>
          <w:color w:val="404040" w:themeColor="text1" w:themeTint="BF"/>
          <w:sz w:val="21"/>
          <w:szCs w:val="21"/>
        </w:rPr>
        <w:t>Prioritizzazione della prevenzione vaccinale contro le patologie respiratorie nell’anziano e nel fragile</w:t>
      </w:r>
      <w:r w:rsidR="005D16DD" w:rsidRPr="009B40A1">
        <w:rPr>
          <w:rFonts w:ascii="Book Antiqua" w:hAnsi="Book Antiqua" w:cs="Calibri Light"/>
          <w:color w:val="404040" w:themeColor="text1" w:themeTint="BF"/>
          <w:sz w:val="21"/>
          <w:szCs w:val="21"/>
        </w:rPr>
        <w:t>”</w:t>
      </w:r>
      <w:r w:rsidR="005D16DD">
        <w:rPr>
          <w:rFonts w:ascii="Book Antiqua" w:hAnsi="Book Antiqua" w:cs="Calibri Light"/>
          <w:color w:val="404040" w:themeColor="text1" w:themeTint="BF"/>
          <w:sz w:val="21"/>
          <w:szCs w:val="21"/>
        </w:rPr>
        <w:t>.</w:t>
      </w:r>
      <w:r w:rsidR="00CF5A21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</w:p>
    <w:p w14:paraId="465D63D2" w14:textId="0320281E" w:rsidR="006D4403" w:rsidRPr="006D4403" w:rsidRDefault="00F83B25" w:rsidP="006D440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>Con l’autunno in arrivo che apre le porte ai virus respiratori e previsioni di</w:t>
      </w:r>
      <w:r w:rsidRPr="00F83B2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una stagione influenzale particolarmente 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intensa, 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>Italia Longeva ha lanciato l’appello sulla necessità</w:t>
      </w:r>
      <w:r w:rsidR="003D095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>di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Pr="00F83B2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fare rete </w:t>
      </w:r>
      <w:r w:rsidR="003D095E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e</w:t>
      </w:r>
      <w:r w:rsidRPr="00F83B2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moltiplicare </w:t>
      </w:r>
      <w:r w:rsidR="000A1FF3" w:rsidRPr="00F83B2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gli sforzi </w:t>
      </w:r>
      <w:r w:rsidR="008A04D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per promuovere</w:t>
      </w:r>
      <w:r w:rsidRPr="00F83B25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una più ampia adesione alla vaccinazione da parte </w:t>
      </w:r>
      <w:r w:rsidR="003D095E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dei soggetti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Pr="003D095E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più vulnerabili</w:t>
      </w:r>
      <w:r w:rsidR="003D095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per i quali le infezioni respiratorie rappresentano una grave minaccia di salute. 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A partire dalla “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>banale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” influenza che, n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ei casi più gravi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pu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ò 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portare a complicazioni fatali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come testimoniano i </w:t>
      </w:r>
      <w:r w:rsidR="006D4403" w:rsidRPr="006D440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400mila decessi per cause respiratorie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</w:t>
      </w:r>
      <w:r w:rsid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6D4403" w:rsidRPr="006D440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300mila decessi per cause cardiovascolari</w:t>
      </w:r>
      <w:r w:rsidR="006D440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causati ogni anno in Europa</w:t>
      </w:r>
      <w:r w:rsidR="006D440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>proprio dall’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>influenza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  <w:vertAlign w:val="superscript"/>
        </w:rPr>
        <w:t>4</w:t>
      </w:r>
      <w:r w:rsidR="006D4403" w:rsidRPr="006D440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</w:p>
    <w:p w14:paraId="4539C51E" w14:textId="70B0AC8B" w:rsidR="00334D07" w:rsidRDefault="006D4403" w:rsidP="008F15EC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Senza contare 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>l’impatto economico sul SSN – e più in generale sul sistema di Welfare considerando anche i costi previdenziali per perdita di produttività – dovuto alla mancata vaccinazione.</w:t>
      </w:r>
      <w:r w:rsidR="008F15EC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>Un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 recente analisi condotta da </w:t>
      </w:r>
      <w:r w:rsidR="008A04D5" w:rsidRPr="00530D69">
        <w:rPr>
          <w:rFonts w:ascii="Book Antiqua" w:hAnsi="Book Antiqua" w:cs="Calibri Light"/>
          <w:color w:val="404040" w:themeColor="text1" w:themeTint="BF"/>
          <w:sz w:val="21"/>
          <w:szCs w:val="21"/>
        </w:rPr>
        <w:t>ALTEMS Advisory – Spin off dell’Università Cattolica del Sacro Cuore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>,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ha approfondito l’impatto che avrebbe l’aumento delle coperture su una porzione del calendario vaccinale. </w:t>
      </w:r>
      <w:r w:rsidR="008D4CAC">
        <w:rPr>
          <w:rFonts w:ascii="Book Antiqua" w:hAnsi="Book Antiqua" w:cs="Calibri Light"/>
          <w:color w:val="404040" w:themeColor="text1" w:themeTint="BF"/>
          <w:sz w:val="21"/>
          <w:szCs w:val="21"/>
        </w:rPr>
        <w:t>Dall’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analisi </w:t>
      </w:r>
      <w:r w:rsidR="008D4CAC">
        <w:rPr>
          <w:rFonts w:ascii="Book Antiqua" w:hAnsi="Book Antiqua" w:cs="Calibri Light"/>
          <w:color w:val="404040" w:themeColor="text1" w:themeTint="BF"/>
          <w:sz w:val="21"/>
          <w:szCs w:val="21"/>
        </w:rPr>
        <w:t>è emerso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che il Sistema-Paese, e quindi non solo il SSN, potrebbe avere dei benefici in termini di recupero di gettito fiscale fino a 500 milioni di euro, un risparmio di costi sociali di circa 3 miliardi e un</w:t>
      </w:r>
      <w:r w:rsidR="008A04D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abbattimento</w:t>
      </w:r>
      <w:r w:rsidR="00334D07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della produzione persa fino a 10 miliardi.</w:t>
      </w:r>
    </w:p>
    <w:p w14:paraId="0CB67443" w14:textId="77777777" w:rsidR="006F0B29" w:rsidRDefault="005F0F6B" w:rsidP="006F0B29">
      <w:pPr>
        <w:spacing w:after="120"/>
        <w:ind w:left="284" w:right="340"/>
        <w:jc w:val="both"/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“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La vaccinazion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e viene 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ancora troppo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spesso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sottovalutata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nella pienezza del suo valore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”</w:t>
      </w:r>
      <w:r w:rsidR="00A70D32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A70D3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spiega </w:t>
      </w:r>
      <w:r w:rsidR="00A70D32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Roberto Bernabei</w:t>
      </w:r>
      <w:r w:rsidR="00A70D3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, presidente di Italia Longeva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. “I vaccini r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appresenta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no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lo strumento di protezione più efficace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e</w:t>
      </w:r>
      <w:r w:rsidR="009B40A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sicuro contro le malattie respiratorie più diffuse</w:t>
      </w:r>
      <w:r w:rsidR="0096410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, impedendo che 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una condizione di</w:t>
      </w:r>
      <w:r w:rsidR="0096410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fragilità precipiti nella disabilità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. 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Con l’aumento dell’aspettativa di vita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e una popolazione sempre più anziana,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è 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necessario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un cambio di paradigma </w:t>
      </w:r>
      <w:r w:rsidR="0096410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che metta al centro la prevenzione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. È evidente come la spesa pubblica legata alla sanità debba essere interpretata come un investimento e non un costo per il Paese. La tenuta, o al contrario il naufragio del nostro Servizio sanitario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, 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passa innanzitutto dalla capacità di realizzare efficaci politiche di prevenzion</w:t>
      </w:r>
      <w:r w:rsidR="006759A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e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che </w:t>
      </w:r>
      <w:r w:rsidR="006759A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realizzino una reale presa in carico vaccinale, 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integr</w:t>
      </w:r>
      <w:r w:rsidR="006759A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ando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in maniera virtuosa gli interventi dei diversi professionisti e setting assistenziali, e moltipli</w:t>
      </w:r>
      <w:r w:rsidR="006759A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cand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o le occasioni di ‘buona’ informazione al cittadino</w:t>
      </w:r>
      <w:r w:rsidR="00EF07A6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. 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Più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lastRenderedPageBreak/>
        <w:t xml:space="preserve">vaccinazione significa 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m</w:t>
      </w:r>
      <w:r w:rsidR="00425EB1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inore 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circolazione di virus, tassi di infezione e contagio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inferiori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, 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meno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ricoveri e </w:t>
      </w:r>
      <w:r w:rsidR="00A70D32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meno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decessi. In poche parol</w:t>
      </w:r>
      <w:r w:rsidR="008F15EC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e,</w:t>
      </w:r>
      <w:r w:rsidR="0063451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più salute</w:t>
      </w:r>
      <w:r w:rsidR="008F15EC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, </w:t>
      </w:r>
      <w:r w:rsidR="003032B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che è e deve continuare ad essere </w:t>
      </w:r>
      <w:r w:rsidR="003032BF" w:rsidRPr="003032B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terreno di dialogo </w:t>
      </w:r>
      <w:r w:rsidR="008F15EC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e </w:t>
      </w:r>
      <w:r w:rsidR="003032BF" w:rsidRPr="003032B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obiettivo comune di tutti gli attori del sistema sanitario”.</w:t>
      </w:r>
    </w:p>
    <w:p w14:paraId="2E482351" w14:textId="61393910" w:rsidR="009E65F7" w:rsidRPr="009E65F7" w:rsidRDefault="006F0B29" w:rsidP="006F0B29">
      <w:pPr>
        <w:spacing w:after="120"/>
        <w:ind w:left="284" w:right="340"/>
        <w:jc w:val="both"/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</w:pPr>
      <w:r w:rsidRPr="006F0B29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“Per un invecchiamento in salute, oltre agli investimenti, importanti e che salutiamo con grande soddisfazione, è</w:t>
      </w:r>
      <w:r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</w:t>
      </w:r>
      <w:r w:rsidRPr="006F0B29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necessario imprimere un cambio di paradigma che rimetta al centro la prevenzione in tutte le sue connotazioni, a partire da quella primaria, dagli stili di vita salutari che danno un grande contributo alla sostenibilità del sistema</w:t>
      </w:r>
      <w:r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”, </w:t>
      </w:r>
      <w:r w:rsidRPr="006F0B29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aggiunge </w:t>
      </w:r>
      <w:r w:rsidRPr="006F0B29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Francesco Vaia</w:t>
      </w:r>
      <w:r w:rsidRPr="006F0B29">
        <w:rPr>
          <w:rFonts w:ascii="Book Antiqua" w:hAnsi="Book Antiqua" w:cs="Calibri Light"/>
          <w:color w:val="404040" w:themeColor="text1" w:themeTint="BF"/>
          <w:sz w:val="21"/>
          <w:szCs w:val="21"/>
        </w:rPr>
        <w:t>, Direttore Generale alla Prevenzione, Ministero della Salute.</w:t>
      </w:r>
      <w:r w:rsidRPr="006F0B29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“I virus respiratori sono tutti ugualmente pericolosi, perché le infezioni che ne conseguono possono essere più o meno gravi a seconda delle condizioni di salute o fragilità di chi ne viene colpito. Oltre ad essere un importante strumento di protezione individuale, la vaccinazione produce un beneficio di salute per tutta la comunità e in particolare per le fasce di popolazione più a rischio. Con l’arrivo della stagione invernale, i virus respiratori hanno una maggiore facilità di diffusione. Per questo è importante essere preparati e vaccinarsi”.</w:t>
      </w:r>
    </w:p>
    <w:p w14:paraId="104FB29E" w14:textId="3A80DB8C" w:rsidR="007D1EF1" w:rsidRPr="006759AB" w:rsidRDefault="006759AB" w:rsidP="006759AB">
      <w:pPr>
        <w:spacing w:after="120"/>
        <w:ind w:left="284" w:right="340"/>
        <w:jc w:val="both"/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</w:pPr>
      <w:r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>Nell’ambito del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suo </w:t>
      </w:r>
      <w:r w:rsidR="00B8214E"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impegno </w:t>
      </w: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>per</w:t>
      </w:r>
      <w:r w:rsidR="00B8214E"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la promozione </w:t>
      </w:r>
      <w:r w:rsidR="000416F2"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>dell</w:t>
      </w:r>
      <w:r w:rsidR="00B8214E"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>’invecchiamento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della longevità </w:t>
      </w:r>
      <w:r w:rsidR="00B8214E" w:rsidRPr="006759AB">
        <w:rPr>
          <w:rFonts w:ascii="Book Antiqua" w:hAnsi="Book Antiqua" w:cs="Calibri Light"/>
          <w:color w:val="404040" w:themeColor="text1" w:themeTint="BF"/>
          <w:sz w:val="21"/>
          <w:szCs w:val="21"/>
        </w:rPr>
        <w:t>attiv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a, </w:t>
      </w:r>
      <w:r w:rsidR="00EF07A6">
        <w:rPr>
          <w:rFonts w:ascii="Book Antiqua" w:hAnsi="Book Antiqua" w:cs="Calibri Light"/>
          <w:color w:val="404040" w:themeColor="text1" w:themeTint="BF"/>
          <w:sz w:val="21"/>
          <w:szCs w:val="21"/>
        </w:rPr>
        <w:t>Italia Longeva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ha</w:t>
      </w:r>
      <w:r w:rsidR="00B8214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lanciato </w:t>
      </w:r>
      <w:r w:rsidR="00EF07A6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la 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nuova </w:t>
      </w:r>
      <w:r w:rsidR="00EF07A6">
        <w:rPr>
          <w:rFonts w:ascii="Book Antiqua" w:hAnsi="Book Antiqua" w:cs="Calibri Light"/>
          <w:color w:val="404040" w:themeColor="text1" w:themeTint="BF"/>
          <w:sz w:val="21"/>
          <w:szCs w:val="21"/>
        </w:rPr>
        <w:t>Campagna di comunicazione sociale</w:t>
      </w:r>
      <w:r w:rsidR="00B8214E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“</w:t>
      </w:r>
      <w:r w:rsidR="00B8214E" w:rsidRPr="00833658">
        <w:rPr>
          <w:rFonts w:ascii="Book Antiqua" w:hAnsi="Book Antiqua" w:cs="Calibri Light"/>
          <w:b/>
          <w:bCs/>
          <w:i/>
          <w:iCs/>
          <w:color w:val="404040" w:themeColor="text1" w:themeTint="BF"/>
          <w:sz w:val="21"/>
          <w:szCs w:val="21"/>
        </w:rPr>
        <w:t>La salute non va solo desiderata va difesa</w:t>
      </w:r>
      <w:r w:rsidR="00B8214E">
        <w:rPr>
          <w:rFonts w:ascii="Book Antiqua" w:hAnsi="Book Antiqua" w:cs="Calibri Light"/>
          <w:color w:val="404040" w:themeColor="text1" w:themeTint="BF"/>
          <w:sz w:val="21"/>
          <w:szCs w:val="21"/>
        </w:rPr>
        <w:t>”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B8214E">
        <w:rPr>
          <w:rFonts w:ascii="Book Antiqua" w:hAnsi="Book Antiqua" w:cs="Calibri Light"/>
          <w:color w:val="404040" w:themeColor="text1" w:themeTint="BF"/>
          <w:sz w:val="21"/>
          <w:szCs w:val="21"/>
        </w:rPr>
        <w:t>che</w:t>
      </w:r>
      <w:r w:rsidR="0083365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attraverso uno </w:t>
      </w:r>
      <w:hyperlink r:id="rId8" w:history="1">
        <w:r w:rsidR="00833658" w:rsidRPr="00833658">
          <w:rPr>
            <w:rStyle w:val="Collegamentoipertestuale"/>
            <w:rFonts w:ascii="Book Antiqua" w:hAnsi="Book Antiqua" w:cs="Calibri Light"/>
            <w:sz w:val="21"/>
            <w:szCs w:val="21"/>
          </w:rPr>
          <w:t>spot</w:t>
        </w:r>
      </w:hyperlink>
      <w:r w:rsidR="0083365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83365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lancia un monito a tutti gli anziani</w:t>
      </w:r>
      <w:r w:rsidR="00071A13">
        <w:rPr>
          <w:rFonts w:ascii="Book Antiqua" w:hAnsi="Book Antiqua" w:cs="Calibri Light"/>
          <w:color w:val="404040" w:themeColor="text1" w:themeTint="BF"/>
          <w:sz w:val="21"/>
          <w:szCs w:val="21"/>
        </w:rPr>
        <w:t>:</w:t>
      </w:r>
      <w:r w:rsidR="0083365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833658" w:rsidRPr="007A6F4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mantenersi in salute e autosufficienti nell’invecchiamento</w:t>
      </w:r>
      <w:r w:rsidR="00833658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obiettivo raggiungibile </w:t>
      </w:r>
      <w:r w:rsidR="0083365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anche </w:t>
      </w:r>
      <w:r w:rsidR="00833658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grazie alla vaccinazione.</w:t>
      </w:r>
      <w:r w:rsidR="00EF07A6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La Campagna è stata realizzata con il Patrocinio di Pubblicità Progresso e delle Società Scientifiche di Gerontologia e Geriatria (SIGG), Medicina Generale (SIMG) e Igiene (SItI). </w:t>
      </w:r>
    </w:p>
    <w:p w14:paraId="180DD76D" w14:textId="77777777" w:rsidR="00EF07A6" w:rsidRDefault="00EF07A6" w:rsidP="00FD7690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</w:p>
    <w:p w14:paraId="49A44664" w14:textId="4DC0B936" w:rsidR="00EF07A6" w:rsidRDefault="00EF07A6" w:rsidP="00EF07A6">
      <w:pPr>
        <w:spacing w:after="120"/>
        <w:ind w:left="284" w:right="340"/>
        <w:jc w:val="center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>***</w:t>
      </w:r>
    </w:p>
    <w:p w14:paraId="132B4FD7" w14:textId="4C89C6E5" w:rsidR="00FB389D" w:rsidRPr="00071A13" w:rsidRDefault="00FB389D" w:rsidP="00C3555B">
      <w:pPr>
        <w:ind w:left="284" w:right="340"/>
        <w:rPr>
          <w:rFonts w:ascii="Book Antiqua" w:hAnsi="Book Antiqua" w:cs="Calibri Light"/>
          <w:b/>
          <w:bCs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b/>
          <w:bCs/>
          <w:color w:val="404040" w:themeColor="text1" w:themeTint="BF"/>
          <w:sz w:val="19"/>
          <w:szCs w:val="19"/>
        </w:rPr>
        <w:t xml:space="preserve">Bibliografia: </w:t>
      </w:r>
    </w:p>
    <w:p w14:paraId="17CAF799" w14:textId="3C7BBFF3" w:rsidR="00C3555B" w:rsidRPr="00071A13" w:rsidRDefault="00C3555B" w:rsidP="00071A13">
      <w:pPr>
        <w:ind w:left="284" w:right="340"/>
        <w:jc w:val="both"/>
        <w:rPr>
          <w:rFonts w:ascii="Book Antiqua" w:hAnsi="Book Antiqua" w:cs="Calibri Light"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  <w:t>1</w:t>
      </w:r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</w:rPr>
        <w:t xml:space="preserve">Gruppo di lavoro ALTEMS Advisory, spin-off dell’Università Cattolica del Sacro Cuore. “Il valore delle strategie vaccinali nelle Regioni italiane (la mancata vaccinazione secondo diverse ipotesi di copertura)”, scaricabile </w:t>
      </w:r>
      <w:hyperlink r:id="rId9" w:history="1">
        <w:r w:rsidRPr="00071A13">
          <w:rPr>
            <w:rStyle w:val="Collegamentoipertestuale"/>
            <w:rFonts w:ascii="Book Antiqua" w:hAnsi="Book Antiqua" w:cs="Calibri Light"/>
            <w:sz w:val="19"/>
            <w:szCs w:val="19"/>
          </w:rPr>
          <w:t>qui</w:t>
        </w:r>
      </w:hyperlink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</w:rPr>
        <w:t xml:space="preserve"> </w:t>
      </w:r>
    </w:p>
    <w:p w14:paraId="15951D9E" w14:textId="77777777" w:rsidR="001D2C4E" w:rsidRPr="00071A13" w:rsidRDefault="00C3555B" w:rsidP="00071A13">
      <w:pPr>
        <w:ind w:left="284" w:right="340"/>
        <w:jc w:val="both"/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</w:pPr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  <w:t>2</w:t>
      </w:r>
      <w:r w:rsidR="00FB389D" w:rsidRPr="00071A13"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  <w:t xml:space="preserve"> </w:t>
      </w:r>
      <w:r w:rsidR="001D2C4E" w:rsidRPr="00071A13">
        <w:rPr>
          <w:rFonts w:ascii="Book Antiqua" w:hAnsi="Book Antiqua" w:cs="Calibri Light"/>
          <w:color w:val="404040" w:themeColor="text1" w:themeTint="BF"/>
          <w:sz w:val="19"/>
          <w:szCs w:val="19"/>
        </w:rPr>
        <w:t>Mennini, F.S. et al. Budget impact analysis della vaccinazione anti-pneumococcica negli adulti/anziani in Italia. Global &amp; Regional Health Technology Assessment 2015; 2: 43-52.</w:t>
      </w:r>
    </w:p>
    <w:p w14:paraId="6895C517" w14:textId="26D91476" w:rsidR="00FB389D" w:rsidRPr="00071A13" w:rsidRDefault="001D2C4E" w:rsidP="00071A13">
      <w:pPr>
        <w:ind w:left="284" w:right="340"/>
        <w:jc w:val="both"/>
        <w:rPr>
          <w:rStyle w:val="Collegamentoipertestuale"/>
          <w:rFonts w:ascii="Book Antiqua" w:hAnsi="Book Antiqua" w:cs="Calibri Light"/>
          <w:sz w:val="19"/>
          <w:szCs w:val="19"/>
        </w:rPr>
      </w:pPr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  <w:t>3</w:t>
      </w:r>
      <w:r w:rsidR="00FB389D" w:rsidRPr="00071A13">
        <w:rPr>
          <w:rFonts w:ascii="Book Antiqua" w:hAnsi="Book Antiqua" w:cs="Calibri Light"/>
          <w:color w:val="404040" w:themeColor="text1" w:themeTint="BF"/>
          <w:sz w:val="19"/>
          <w:szCs w:val="19"/>
        </w:rPr>
        <w:t xml:space="preserve">Raccomandazioni del Board del Calendario per la Vita sulla vaccinazione contro Virus Respiratorio Sinciziale (VRS o RSV) nella popolazione anziana e negli adulti a rischio, scaricabile </w:t>
      </w:r>
      <w:hyperlink r:id="rId10" w:history="1">
        <w:r w:rsidR="00FB389D" w:rsidRPr="00071A13">
          <w:rPr>
            <w:rStyle w:val="Collegamentoipertestuale"/>
            <w:rFonts w:ascii="Book Antiqua" w:hAnsi="Book Antiqua" w:cs="Calibri Light"/>
            <w:sz w:val="19"/>
            <w:szCs w:val="19"/>
          </w:rPr>
          <w:t>qui</w:t>
        </w:r>
      </w:hyperlink>
    </w:p>
    <w:p w14:paraId="3C067054" w14:textId="727FAB3C" w:rsidR="006D4403" w:rsidRPr="006D4403" w:rsidRDefault="006D4403" w:rsidP="00071A13">
      <w:pPr>
        <w:ind w:left="284" w:right="340"/>
        <w:jc w:val="both"/>
        <w:rPr>
          <w:rFonts w:ascii="Book Antiqua" w:hAnsi="Book Antiqua" w:cs="Calibri Light"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color w:val="404040" w:themeColor="text1" w:themeTint="BF"/>
          <w:sz w:val="19"/>
          <w:szCs w:val="19"/>
          <w:vertAlign w:val="superscript"/>
        </w:rPr>
        <w:t>4</w:t>
      </w:r>
      <w:r w:rsidRPr="006D4403">
        <w:rPr>
          <w:rFonts w:ascii="Book Antiqua" w:hAnsi="Book Antiqua" w:cs="Calibri Light"/>
          <w:color w:val="404040" w:themeColor="text1" w:themeTint="BF"/>
          <w:sz w:val="19"/>
          <w:szCs w:val="19"/>
        </w:rPr>
        <w:t xml:space="preserve">Paget et al., 2019, Chaves et al., 2023 </w:t>
      </w:r>
    </w:p>
    <w:p w14:paraId="4DD87D2E" w14:textId="77777777" w:rsidR="006D4403" w:rsidRDefault="006D4403" w:rsidP="001D2C4E">
      <w:pPr>
        <w:ind w:left="284" w:right="340"/>
        <w:rPr>
          <w:rFonts w:ascii="Book Antiqua" w:hAnsi="Book Antiqua" w:cs="Calibri Light"/>
          <w:color w:val="404040" w:themeColor="text1" w:themeTint="BF"/>
          <w:sz w:val="18"/>
          <w:szCs w:val="18"/>
          <w:vertAlign w:val="superscript"/>
        </w:rPr>
      </w:pPr>
    </w:p>
    <w:p w14:paraId="45E49DB0" w14:textId="77777777" w:rsidR="00FB389D" w:rsidRDefault="00FB389D" w:rsidP="00071A13">
      <w:pPr>
        <w:ind w:right="340"/>
        <w:jc w:val="both"/>
        <w:rPr>
          <w:rFonts w:ascii="Book Antiqua" w:hAnsi="Book Antiqua" w:cs="Calibri Light"/>
          <w:color w:val="404040" w:themeColor="text1" w:themeTint="BF"/>
          <w:sz w:val="18"/>
          <w:szCs w:val="18"/>
          <w:vertAlign w:val="superscript"/>
        </w:rPr>
      </w:pPr>
    </w:p>
    <w:p w14:paraId="0A708189" w14:textId="77777777" w:rsidR="00071A13" w:rsidRDefault="00071A13" w:rsidP="00071A13">
      <w:pPr>
        <w:ind w:right="340"/>
        <w:jc w:val="both"/>
        <w:rPr>
          <w:rFonts w:ascii="Book Antiqua" w:hAnsi="Book Antiqua" w:cs="Calibri Light"/>
          <w:color w:val="404040" w:themeColor="text1" w:themeTint="BF"/>
          <w:sz w:val="18"/>
          <w:szCs w:val="18"/>
          <w:vertAlign w:val="superscript"/>
        </w:rPr>
      </w:pPr>
    </w:p>
    <w:p w14:paraId="66DE8AA6" w14:textId="77777777" w:rsidR="00071A13" w:rsidRDefault="00071A13" w:rsidP="00071A13">
      <w:pPr>
        <w:ind w:right="340"/>
        <w:jc w:val="both"/>
        <w:rPr>
          <w:rFonts w:ascii="Book Antiqua" w:hAnsi="Book Antiqua" w:cs="Calibri Light"/>
          <w:color w:val="404040" w:themeColor="text1" w:themeTint="BF"/>
          <w:sz w:val="18"/>
          <w:szCs w:val="18"/>
          <w:vertAlign w:val="superscript"/>
        </w:rPr>
      </w:pPr>
    </w:p>
    <w:p w14:paraId="1C7475C6" w14:textId="77777777" w:rsidR="00071A13" w:rsidRPr="00FB389D" w:rsidRDefault="00071A13" w:rsidP="00071A13">
      <w:pPr>
        <w:ind w:right="340"/>
        <w:jc w:val="both"/>
        <w:rPr>
          <w:rFonts w:ascii="Book Antiqua" w:hAnsi="Book Antiqua" w:cs="Calibri Light"/>
          <w:color w:val="404040" w:themeColor="text1" w:themeTint="BF"/>
          <w:sz w:val="18"/>
          <w:szCs w:val="18"/>
        </w:rPr>
      </w:pPr>
    </w:p>
    <w:p w14:paraId="51C737DB" w14:textId="18465C4B" w:rsidR="007D1EF1" w:rsidRDefault="00CC2F43" w:rsidP="00C3555B">
      <w:pPr>
        <w:ind w:left="284" w:right="340"/>
        <w:contextualSpacing/>
        <w:jc w:val="center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  <w:t>***</w:t>
      </w:r>
    </w:p>
    <w:p w14:paraId="144866A9" w14:textId="77777777" w:rsidR="007D1EF1" w:rsidRDefault="007D1EF1" w:rsidP="00C3555B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</w:p>
    <w:p w14:paraId="3BAACB2B" w14:textId="77777777" w:rsidR="00071A13" w:rsidRDefault="00071A13" w:rsidP="00C3555B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</w:p>
    <w:p w14:paraId="573926AB" w14:textId="62B6A798" w:rsidR="00F37D1B" w:rsidRPr="00071A13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b/>
          <w:bCs/>
          <w:noProof/>
          <w:color w:val="404040" w:themeColor="text1" w:themeTint="BF"/>
          <w:sz w:val="19"/>
          <w:szCs w:val="19"/>
        </w:rPr>
        <w:t>Per ulteriori informazioni</w:t>
      </w:r>
    </w:p>
    <w:p w14:paraId="468D432A" w14:textId="77777777" w:rsidR="00F37D1B" w:rsidRPr="00071A13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Ufficio stampa Value Relations </w:t>
      </w:r>
    </w:p>
    <w:p w14:paraId="1BD5C66E" w14:textId="5B0E9055" w:rsidR="00F37D1B" w:rsidRPr="00071A13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i/>
          <w:iCs/>
          <w:noProof/>
          <w:color w:val="404040" w:themeColor="text1" w:themeTint="BF"/>
          <w:sz w:val="19"/>
          <w:szCs w:val="19"/>
        </w:rPr>
        <w:t>Angela Del Giudice</w:t>
      </w:r>
      <w:r w:rsidR="00670F2F"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: </w:t>
      </w:r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>392.6858392</w:t>
      </w:r>
      <w:r w:rsidR="00C8428D"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, </w:t>
      </w:r>
      <w:hyperlink r:id="rId11" w:history="1">
        <w:r w:rsidR="00C8428D" w:rsidRPr="00071A13">
          <w:rPr>
            <w:rStyle w:val="Collegamentoipertestuale"/>
            <w:rFonts w:ascii="Book Antiqua" w:hAnsi="Book Antiqua" w:cs="Calibri Light"/>
            <w:noProof/>
            <w:color w:val="404040" w:themeColor="text1" w:themeTint="BF"/>
            <w:sz w:val="19"/>
            <w:szCs w:val="19"/>
          </w:rPr>
          <w:t>a.delgiudice@vrelations.it</w:t>
        </w:r>
      </w:hyperlink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 </w:t>
      </w:r>
    </w:p>
    <w:p w14:paraId="7FEBF5F9" w14:textId="33221320" w:rsidR="00C8428D" w:rsidRPr="00071A13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</w:pPr>
      <w:r w:rsidRPr="00071A13">
        <w:rPr>
          <w:rFonts w:ascii="Book Antiqua" w:hAnsi="Book Antiqua" w:cs="Calibri Light"/>
          <w:i/>
          <w:iCs/>
          <w:noProof/>
          <w:color w:val="404040" w:themeColor="text1" w:themeTint="BF"/>
          <w:sz w:val="19"/>
          <w:szCs w:val="19"/>
        </w:rPr>
        <w:t>Chiara Farroni</w:t>
      </w:r>
      <w:r w:rsidR="00670F2F"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: </w:t>
      </w:r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>331</w:t>
      </w:r>
      <w:r w:rsidR="00A0022F"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>.</w:t>
      </w:r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>4997375</w:t>
      </w:r>
      <w:r w:rsidR="00C8428D"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, </w:t>
      </w:r>
      <w:hyperlink r:id="rId12" w:history="1">
        <w:r w:rsidR="00C8428D" w:rsidRPr="00071A13">
          <w:rPr>
            <w:rStyle w:val="Collegamentoipertestuale"/>
            <w:rFonts w:ascii="Book Antiqua" w:hAnsi="Book Antiqua" w:cs="Calibri Light"/>
            <w:noProof/>
            <w:color w:val="404040" w:themeColor="text1" w:themeTint="BF"/>
            <w:sz w:val="19"/>
            <w:szCs w:val="19"/>
          </w:rPr>
          <w:t>c.farroni@vrelations.it</w:t>
        </w:r>
      </w:hyperlink>
      <w:r w:rsidRPr="00071A13"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  <w:t xml:space="preserve"> </w:t>
      </w:r>
    </w:p>
    <w:p w14:paraId="7D2A54DF" w14:textId="05DC6FA5" w:rsidR="00EF0191" w:rsidRPr="00071A13" w:rsidRDefault="00EF0191" w:rsidP="00CC2F43">
      <w:pPr>
        <w:ind w:left="284" w:right="340"/>
        <w:contextualSpacing/>
        <w:rPr>
          <w:rFonts w:ascii="Book Antiqua" w:hAnsi="Book Antiqua" w:cs="Calibri Light"/>
          <w:noProof/>
          <w:color w:val="404040" w:themeColor="text1" w:themeTint="BF"/>
          <w:sz w:val="19"/>
          <w:szCs w:val="19"/>
        </w:rPr>
      </w:pPr>
    </w:p>
    <w:sectPr w:rsidR="00EF0191" w:rsidRPr="00071A13" w:rsidSect="006F0B29">
      <w:headerReference w:type="default" r:id="rId13"/>
      <w:footerReference w:type="default" r:id="rId14"/>
      <w:pgSz w:w="11906" w:h="16838"/>
      <w:pgMar w:top="1134" w:right="964" w:bottom="851" w:left="90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3AD2B" w14:textId="77777777" w:rsidR="0019438E" w:rsidRDefault="0019438E" w:rsidP="00A41B8E">
      <w:r>
        <w:separator/>
      </w:r>
    </w:p>
  </w:endnote>
  <w:endnote w:type="continuationSeparator" w:id="0">
    <w:p w14:paraId="685D4AE9" w14:textId="77777777" w:rsidR="0019438E" w:rsidRDefault="0019438E" w:rsidP="00A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22C7B" w14:textId="77777777" w:rsidR="00EF07A6" w:rsidRDefault="00EF07A6">
    <w:pPr>
      <w:pStyle w:val="Pidipagina"/>
    </w:pPr>
  </w:p>
  <w:p w14:paraId="6FA4ACC8" w14:textId="77777777" w:rsidR="00EF07A6" w:rsidRDefault="00EF07A6">
    <w:pPr>
      <w:pStyle w:val="Pidipagina"/>
    </w:pPr>
  </w:p>
  <w:p w14:paraId="6A4E28C1" w14:textId="77777777" w:rsidR="00EF07A6" w:rsidRDefault="00EF07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320DE" w14:textId="77777777" w:rsidR="0019438E" w:rsidRDefault="0019438E" w:rsidP="00A41B8E">
      <w:r>
        <w:separator/>
      </w:r>
    </w:p>
  </w:footnote>
  <w:footnote w:type="continuationSeparator" w:id="0">
    <w:p w14:paraId="64197522" w14:textId="77777777" w:rsidR="0019438E" w:rsidRDefault="0019438E" w:rsidP="00A4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AD90" w14:textId="0DA11DA5" w:rsidR="006612FC" w:rsidRDefault="00D55112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C4B07EA" wp14:editId="09097A32">
          <wp:simplePos x="0" y="0"/>
          <wp:positionH relativeFrom="page">
            <wp:posOffset>2199283</wp:posOffset>
          </wp:positionH>
          <wp:positionV relativeFrom="paragraph">
            <wp:posOffset>-22860</wp:posOffset>
          </wp:positionV>
          <wp:extent cx="3297380" cy="647700"/>
          <wp:effectExtent l="0" t="0" r="508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3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E86CC4" w14:textId="37E9341B" w:rsidR="006612FC" w:rsidRDefault="006612FC">
    <w:pPr>
      <w:pStyle w:val="Intestazione"/>
    </w:pPr>
  </w:p>
  <w:p w14:paraId="5DA173EB" w14:textId="09B916C1" w:rsidR="006612FC" w:rsidRPr="00B64205" w:rsidRDefault="006612FC">
    <w:pPr>
      <w:pStyle w:val="Intestazione"/>
      <w:rPr>
        <w:sz w:val="10"/>
        <w:szCs w:val="10"/>
      </w:rPr>
    </w:pPr>
  </w:p>
  <w:p w14:paraId="0CDFF408" w14:textId="1C31F4A5" w:rsidR="009D7000" w:rsidRDefault="009D7000">
    <w:pPr>
      <w:pStyle w:val="Intestazione"/>
    </w:pPr>
  </w:p>
  <w:p w14:paraId="185D69C7" w14:textId="77777777" w:rsidR="00D55112" w:rsidRDefault="00D55112">
    <w:pPr>
      <w:pStyle w:val="Intestazione"/>
      <w:rPr>
        <w:sz w:val="10"/>
        <w:szCs w:val="10"/>
      </w:rPr>
    </w:pPr>
  </w:p>
  <w:p w14:paraId="6768FAA5" w14:textId="77777777" w:rsidR="00921CF4" w:rsidRDefault="00921CF4">
    <w:pPr>
      <w:pStyle w:val="Intestazione"/>
      <w:rPr>
        <w:sz w:val="10"/>
        <w:szCs w:val="10"/>
      </w:rPr>
    </w:pPr>
  </w:p>
  <w:p w14:paraId="4616FF01" w14:textId="77777777" w:rsidR="00921CF4" w:rsidRDefault="00921CF4">
    <w:pPr>
      <w:pStyle w:val="Intestazione"/>
      <w:rPr>
        <w:sz w:val="10"/>
        <w:szCs w:val="10"/>
      </w:rPr>
    </w:pPr>
  </w:p>
  <w:p w14:paraId="52AFAB24" w14:textId="77777777" w:rsidR="006F3A54" w:rsidRPr="00D55112" w:rsidRDefault="006F3A5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2B4"/>
    <w:multiLevelType w:val="multilevel"/>
    <w:tmpl w:val="C54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F64"/>
    <w:multiLevelType w:val="multilevel"/>
    <w:tmpl w:val="ADB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F84BAF"/>
    <w:multiLevelType w:val="hybridMultilevel"/>
    <w:tmpl w:val="581208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A05339B"/>
    <w:multiLevelType w:val="hybridMultilevel"/>
    <w:tmpl w:val="04882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C2CEF"/>
    <w:multiLevelType w:val="hybridMultilevel"/>
    <w:tmpl w:val="28EC3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011EB"/>
    <w:multiLevelType w:val="hybridMultilevel"/>
    <w:tmpl w:val="4D06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358460">
    <w:abstractNumId w:val="20"/>
  </w:num>
  <w:num w:numId="2" w16cid:durableId="32123153">
    <w:abstractNumId w:val="12"/>
  </w:num>
  <w:num w:numId="3" w16cid:durableId="35396499">
    <w:abstractNumId w:val="11"/>
  </w:num>
  <w:num w:numId="4" w16cid:durableId="1112675463">
    <w:abstractNumId w:val="5"/>
  </w:num>
  <w:num w:numId="5" w16cid:durableId="179005410">
    <w:abstractNumId w:val="6"/>
  </w:num>
  <w:num w:numId="6" w16cid:durableId="494879231">
    <w:abstractNumId w:val="16"/>
  </w:num>
  <w:num w:numId="7" w16cid:durableId="836968570">
    <w:abstractNumId w:val="7"/>
  </w:num>
  <w:num w:numId="8" w16cid:durableId="1014844545">
    <w:abstractNumId w:val="3"/>
  </w:num>
  <w:num w:numId="9" w16cid:durableId="2131975047">
    <w:abstractNumId w:val="2"/>
  </w:num>
  <w:num w:numId="10" w16cid:durableId="899561818">
    <w:abstractNumId w:val="13"/>
  </w:num>
  <w:num w:numId="11" w16cid:durableId="658534887">
    <w:abstractNumId w:val="15"/>
  </w:num>
  <w:num w:numId="12" w16cid:durableId="986906627">
    <w:abstractNumId w:val="17"/>
  </w:num>
  <w:num w:numId="13" w16cid:durableId="548879404">
    <w:abstractNumId w:val="8"/>
  </w:num>
  <w:num w:numId="14" w16cid:durableId="2105109203">
    <w:abstractNumId w:val="14"/>
  </w:num>
  <w:num w:numId="15" w16cid:durableId="418212177">
    <w:abstractNumId w:val="1"/>
  </w:num>
  <w:num w:numId="16" w16cid:durableId="1541673794">
    <w:abstractNumId w:val="19"/>
  </w:num>
  <w:num w:numId="17" w16cid:durableId="190265692">
    <w:abstractNumId w:val="10"/>
  </w:num>
  <w:num w:numId="18" w16cid:durableId="1550189000">
    <w:abstractNumId w:val="9"/>
  </w:num>
  <w:num w:numId="19" w16cid:durableId="1776902032">
    <w:abstractNumId w:val="18"/>
  </w:num>
  <w:num w:numId="20" w16cid:durableId="26418360">
    <w:abstractNumId w:val="0"/>
  </w:num>
  <w:num w:numId="21" w16cid:durableId="808981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11"/>
    <w:rsid w:val="0000176E"/>
    <w:rsid w:val="000029F2"/>
    <w:rsid w:val="000034EF"/>
    <w:rsid w:val="00003873"/>
    <w:rsid w:val="000038B6"/>
    <w:rsid w:val="00004DC6"/>
    <w:rsid w:val="00006F1D"/>
    <w:rsid w:val="000072A8"/>
    <w:rsid w:val="00020A9A"/>
    <w:rsid w:val="00020F3F"/>
    <w:rsid w:val="00022E8C"/>
    <w:rsid w:val="000246F9"/>
    <w:rsid w:val="00026164"/>
    <w:rsid w:val="00026346"/>
    <w:rsid w:val="000303D5"/>
    <w:rsid w:val="0003094C"/>
    <w:rsid w:val="00030D96"/>
    <w:rsid w:val="00032FBB"/>
    <w:rsid w:val="00033A5E"/>
    <w:rsid w:val="00037DFB"/>
    <w:rsid w:val="000409AB"/>
    <w:rsid w:val="000416F2"/>
    <w:rsid w:val="0004183C"/>
    <w:rsid w:val="00042796"/>
    <w:rsid w:val="000437F0"/>
    <w:rsid w:val="00044805"/>
    <w:rsid w:val="0004537F"/>
    <w:rsid w:val="0004676D"/>
    <w:rsid w:val="0004703A"/>
    <w:rsid w:val="00047061"/>
    <w:rsid w:val="0004751C"/>
    <w:rsid w:val="00047BC3"/>
    <w:rsid w:val="00052827"/>
    <w:rsid w:val="00053CF1"/>
    <w:rsid w:val="0005504B"/>
    <w:rsid w:val="00055E76"/>
    <w:rsid w:val="0005712D"/>
    <w:rsid w:val="00060791"/>
    <w:rsid w:val="00061F22"/>
    <w:rsid w:val="00065167"/>
    <w:rsid w:val="00065B91"/>
    <w:rsid w:val="00065FB8"/>
    <w:rsid w:val="000669AF"/>
    <w:rsid w:val="00066F73"/>
    <w:rsid w:val="00070B2B"/>
    <w:rsid w:val="00071A13"/>
    <w:rsid w:val="00074035"/>
    <w:rsid w:val="0007403A"/>
    <w:rsid w:val="00075988"/>
    <w:rsid w:val="00075CCD"/>
    <w:rsid w:val="000766E6"/>
    <w:rsid w:val="0008359D"/>
    <w:rsid w:val="00084D98"/>
    <w:rsid w:val="00086B25"/>
    <w:rsid w:val="00086B7E"/>
    <w:rsid w:val="0008752F"/>
    <w:rsid w:val="000907C8"/>
    <w:rsid w:val="00090D26"/>
    <w:rsid w:val="00090F82"/>
    <w:rsid w:val="00093656"/>
    <w:rsid w:val="000A0883"/>
    <w:rsid w:val="000A09E9"/>
    <w:rsid w:val="000A12B5"/>
    <w:rsid w:val="000A1FF3"/>
    <w:rsid w:val="000A3E53"/>
    <w:rsid w:val="000A4E0B"/>
    <w:rsid w:val="000A5458"/>
    <w:rsid w:val="000A6E93"/>
    <w:rsid w:val="000A788D"/>
    <w:rsid w:val="000B064E"/>
    <w:rsid w:val="000B0A6E"/>
    <w:rsid w:val="000B3504"/>
    <w:rsid w:val="000B3DAC"/>
    <w:rsid w:val="000B4DC8"/>
    <w:rsid w:val="000B5F83"/>
    <w:rsid w:val="000B68A5"/>
    <w:rsid w:val="000B720E"/>
    <w:rsid w:val="000B7239"/>
    <w:rsid w:val="000C0E51"/>
    <w:rsid w:val="000C32C8"/>
    <w:rsid w:val="000E1A0A"/>
    <w:rsid w:val="000E1F0A"/>
    <w:rsid w:val="000E36A5"/>
    <w:rsid w:val="000E4086"/>
    <w:rsid w:val="000E43DC"/>
    <w:rsid w:val="000E5236"/>
    <w:rsid w:val="000E61C5"/>
    <w:rsid w:val="000E6605"/>
    <w:rsid w:val="000E66C1"/>
    <w:rsid w:val="000E678B"/>
    <w:rsid w:val="000F0B2E"/>
    <w:rsid w:val="000F3804"/>
    <w:rsid w:val="000F44F2"/>
    <w:rsid w:val="000F4BC1"/>
    <w:rsid w:val="000F4D45"/>
    <w:rsid w:val="00100798"/>
    <w:rsid w:val="00101C1F"/>
    <w:rsid w:val="00101E87"/>
    <w:rsid w:val="00102605"/>
    <w:rsid w:val="00103423"/>
    <w:rsid w:val="00103DC6"/>
    <w:rsid w:val="00103DFC"/>
    <w:rsid w:val="00105541"/>
    <w:rsid w:val="0011201E"/>
    <w:rsid w:val="001121B7"/>
    <w:rsid w:val="001142A7"/>
    <w:rsid w:val="00114E79"/>
    <w:rsid w:val="00115034"/>
    <w:rsid w:val="001231A4"/>
    <w:rsid w:val="00124CEC"/>
    <w:rsid w:val="0012763A"/>
    <w:rsid w:val="00130358"/>
    <w:rsid w:val="001306B3"/>
    <w:rsid w:val="00131521"/>
    <w:rsid w:val="00134DDC"/>
    <w:rsid w:val="00135C30"/>
    <w:rsid w:val="001375DB"/>
    <w:rsid w:val="00142FB1"/>
    <w:rsid w:val="00147EB6"/>
    <w:rsid w:val="001504D3"/>
    <w:rsid w:val="00150585"/>
    <w:rsid w:val="00151286"/>
    <w:rsid w:val="00152171"/>
    <w:rsid w:val="00153205"/>
    <w:rsid w:val="00154DDA"/>
    <w:rsid w:val="00157073"/>
    <w:rsid w:val="00160333"/>
    <w:rsid w:val="00160B9C"/>
    <w:rsid w:val="001623F7"/>
    <w:rsid w:val="00162520"/>
    <w:rsid w:val="00162DF4"/>
    <w:rsid w:val="00164400"/>
    <w:rsid w:val="00164C21"/>
    <w:rsid w:val="0016632F"/>
    <w:rsid w:val="00172155"/>
    <w:rsid w:val="00173E59"/>
    <w:rsid w:val="00181193"/>
    <w:rsid w:val="00181848"/>
    <w:rsid w:val="00181937"/>
    <w:rsid w:val="001834B3"/>
    <w:rsid w:val="00183BB1"/>
    <w:rsid w:val="00184323"/>
    <w:rsid w:val="001846CA"/>
    <w:rsid w:val="00184F06"/>
    <w:rsid w:val="00190AD0"/>
    <w:rsid w:val="0019271C"/>
    <w:rsid w:val="00193684"/>
    <w:rsid w:val="00193A4E"/>
    <w:rsid w:val="0019438E"/>
    <w:rsid w:val="001979DD"/>
    <w:rsid w:val="001A377D"/>
    <w:rsid w:val="001A5355"/>
    <w:rsid w:val="001A660A"/>
    <w:rsid w:val="001A74BC"/>
    <w:rsid w:val="001B1AC8"/>
    <w:rsid w:val="001B5A5E"/>
    <w:rsid w:val="001B6049"/>
    <w:rsid w:val="001C144C"/>
    <w:rsid w:val="001C1E99"/>
    <w:rsid w:val="001D0592"/>
    <w:rsid w:val="001D2C4E"/>
    <w:rsid w:val="001D379A"/>
    <w:rsid w:val="001D5797"/>
    <w:rsid w:val="001D7316"/>
    <w:rsid w:val="001D7452"/>
    <w:rsid w:val="001D7D54"/>
    <w:rsid w:val="001E02FA"/>
    <w:rsid w:val="001E133B"/>
    <w:rsid w:val="001F316E"/>
    <w:rsid w:val="001F4253"/>
    <w:rsid w:val="001F4E3D"/>
    <w:rsid w:val="001F56D7"/>
    <w:rsid w:val="001F77F8"/>
    <w:rsid w:val="001F7802"/>
    <w:rsid w:val="002051CE"/>
    <w:rsid w:val="002058EF"/>
    <w:rsid w:val="00206BDF"/>
    <w:rsid w:val="00210265"/>
    <w:rsid w:val="0021080A"/>
    <w:rsid w:val="0021353E"/>
    <w:rsid w:val="00214129"/>
    <w:rsid w:val="00214366"/>
    <w:rsid w:val="002145CC"/>
    <w:rsid w:val="00216050"/>
    <w:rsid w:val="00220398"/>
    <w:rsid w:val="00221547"/>
    <w:rsid w:val="00221BE8"/>
    <w:rsid w:val="0022334D"/>
    <w:rsid w:val="00223714"/>
    <w:rsid w:val="00224E13"/>
    <w:rsid w:val="00225E31"/>
    <w:rsid w:val="002262F9"/>
    <w:rsid w:val="002272AB"/>
    <w:rsid w:val="00227410"/>
    <w:rsid w:val="00230263"/>
    <w:rsid w:val="00233794"/>
    <w:rsid w:val="00234C28"/>
    <w:rsid w:val="00234D5F"/>
    <w:rsid w:val="002355A0"/>
    <w:rsid w:val="00237152"/>
    <w:rsid w:val="0024027B"/>
    <w:rsid w:val="00241099"/>
    <w:rsid w:val="002414C4"/>
    <w:rsid w:val="002414D6"/>
    <w:rsid w:val="0024251E"/>
    <w:rsid w:val="0024341A"/>
    <w:rsid w:val="00246251"/>
    <w:rsid w:val="00250B8C"/>
    <w:rsid w:val="00251273"/>
    <w:rsid w:val="00253DE6"/>
    <w:rsid w:val="00263020"/>
    <w:rsid w:val="00266B91"/>
    <w:rsid w:val="002742D2"/>
    <w:rsid w:val="0027532C"/>
    <w:rsid w:val="00275385"/>
    <w:rsid w:val="00275638"/>
    <w:rsid w:val="00277D26"/>
    <w:rsid w:val="0028191E"/>
    <w:rsid w:val="00281D94"/>
    <w:rsid w:val="00282009"/>
    <w:rsid w:val="0028322D"/>
    <w:rsid w:val="00286D67"/>
    <w:rsid w:val="0029078C"/>
    <w:rsid w:val="0029138A"/>
    <w:rsid w:val="00291DAC"/>
    <w:rsid w:val="00291E52"/>
    <w:rsid w:val="002922F1"/>
    <w:rsid w:val="002928FD"/>
    <w:rsid w:val="00294FC2"/>
    <w:rsid w:val="00295062"/>
    <w:rsid w:val="00296B75"/>
    <w:rsid w:val="00296D98"/>
    <w:rsid w:val="002976BE"/>
    <w:rsid w:val="00297D11"/>
    <w:rsid w:val="002A025E"/>
    <w:rsid w:val="002A276B"/>
    <w:rsid w:val="002A3E96"/>
    <w:rsid w:val="002B33E5"/>
    <w:rsid w:val="002B347C"/>
    <w:rsid w:val="002B4B3B"/>
    <w:rsid w:val="002B4C05"/>
    <w:rsid w:val="002B4F06"/>
    <w:rsid w:val="002B677F"/>
    <w:rsid w:val="002B7065"/>
    <w:rsid w:val="002B7689"/>
    <w:rsid w:val="002B774A"/>
    <w:rsid w:val="002B7A4F"/>
    <w:rsid w:val="002C2F31"/>
    <w:rsid w:val="002C300F"/>
    <w:rsid w:val="002C338A"/>
    <w:rsid w:val="002C50D9"/>
    <w:rsid w:val="002C603E"/>
    <w:rsid w:val="002C614B"/>
    <w:rsid w:val="002C7676"/>
    <w:rsid w:val="002C7AB3"/>
    <w:rsid w:val="002D11B9"/>
    <w:rsid w:val="002D25BF"/>
    <w:rsid w:val="002D293F"/>
    <w:rsid w:val="002D4C5C"/>
    <w:rsid w:val="002D5AFC"/>
    <w:rsid w:val="002E002A"/>
    <w:rsid w:val="002E1A47"/>
    <w:rsid w:val="002E1BED"/>
    <w:rsid w:val="002E234D"/>
    <w:rsid w:val="002E279D"/>
    <w:rsid w:val="002E37EE"/>
    <w:rsid w:val="002E3E7A"/>
    <w:rsid w:val="002E5E0A"/>
    <w:rsid w:val="002E6FF8"/>
    <w:rsid w:val="002F3C20"/>
    <w:rsid w:val="002F4FA8"/>
    <w:rsid w:val="002F518B"/>
    <w:rsid w:val="003008F9"/>
    <w:rsid w:val="003032BF"/>
    <w:rsid w:val="00304C39"/>
    <w:rsid w:val="003062DD"/>
    <w:rsid w:val="00306546"/>
    <w:rsid w:val="003102A3"/>
    <w:rsid w:val="0031068B"/>
    <w:rsid w:val="00310816"/>
    <w:rsid w:val="0031104F"/>
    <w:rsid w:val="0031244D"/>
    <w:rsid w:val="00312A89"/>
    <w:rsid w:val="00313783"/>
    <w:rsid w:val="00314C8D"/>
    <w:rsid w:val="00317029"/>
    <w:rsid w:val="00320E05"/>
    <w:rsid w:val="00321F00"/>
    <w:rsid w:val="003229BB"/>
    <w:rsid w:val="00322A13"/>
    <w:rsid w:val="00322F48"/>
    <w:rsid w:val="0032368B"/>
    <w:rsid w:val="00324322"/>
    <w:rsid w:val="00325F0C"/>
    <w:rsid w:val="003301C5"/>
    <w:rsid w:val="00330ADA"/>
    <w:rsid w:val="00331870"/>
    <w:rsid w:val="00332367"/>
    <w:rsid w:val="0033399A"/>
    <w:rsid w:val="00334D07"/>
    <w:rsid w:val="00334D98"/>
    <w:rsid w:val="00335028"/>
    <w:rsid w:val="00335F48"/>
    <w:rsid w:val="00341EF8"/>
    <w:rsid w:val="0034382C"/>
    <w:rsid w:val="00345BC5"/>
    <w:rsid w:val="003520F5"/>
    <w:rsid w:val="003523D4"/>
    <w:rsid w:val="003543BD"/>
    <w:rsid w:val="00354819"/>
    <w:rsid w:val="00362C4A"/>
    <w:rsid w:val="0036328C"/>
    <w:rsid w:val="003634B3"/>
    <w:rsid w:val="00364657"/>
    <w:rsid w:val="00373DF8"/>
    <w:rsid w:val="00374563"/>
    <w:rsid w:val="00375273"/>
    <w:rsid w:val="003753B3"/>
    <w:rsid w:val="00376B31"/>
    <w:rsid w:val="003801C2"/>
    <w:rsid w:val="00380BBE"/>
    <w:rsid w:val="00381F82"/>
    <w:rsid w:val="0038244B"/>
    <w:rsid w:val="0038269D"/>
    <w:rsid w:val="003837E5"/>
    <w:rsid w:val="00383CD4"/>
    <w:rsid w:val="00385A21"/>
    <w:rsid w:val="0038611C"/>
    <w:rsid w:val="0038653B"/>
    <w:rsid w:val="00386865"/>
    <w:rsid w:val="00390C10"/>
    <w:rsid w:val="00392014"/>
    <w:rsid w:val="00393B3B"/>
    <w:rsid w:val="00394B74"/>
    <w:rsid w:val="0039598D"/>
    <w:rsid w:val="00397736"/>
    <w:rsid w:val="003A5375"/>
    <w:rsid w:val="003A542D"/>
    <w:rsid w:val="003A70C5"/>
    <w:rsid w:val="003B0986"/>
    <w:rsid w:val="003B476B"/>
    <w:rsid w:val="003C29CD"/>
    <w:rsid w:val="003C34A8"/>
    <w:rsid w:val="003C3582"/>
    <w:rsid w:val="003C41D8"/>
    <w:rsid w:val="003C5D88"/>
    <w:rsid w:val="003C6FBC"/>
    <w:rsid w:val="003C77B7"/>
    <w:rsid w:val="003D0786"/>
    <w:rsid w:val="003D095E"/>
    <w:rsid w:val="003D1459"/>
    <w:rsid w:val="003D15CE"/>
    <w:rsid w:val="003D2E44"/>
    <w:rsid w:val="003D4117"/>
    <w:rsid w:val="003D4F24"/>
    <w:rsid w:val="003E0B5D"/>
    <w:rsid w:val="003E1D53"/>
    <w:rsid w:val="003E5719"/>
    <w:rsid w:val="003E5F71"/>
    <w:rsid w:val="003E6F80"/>
    <w:rsid w:val="003E7A4F"/>
    <w:rsid w:val="003F1EF3"/>
    <w:rsid w:val="003F3FC2"/>
    <w:rsid w:val="0040331D"/>
    <w:rsid w:val="00405BB4"/>
    <w:rsid w:val="00405C50"/>
    <w:rsid w:val="00406045"/>
    <w:rsid w:val="00407084"/>
    <w:rsid w:val="0041305A"/>
    <w:rsid w:val="00413905"/>
    <w:rsid w:val="004142E0"/>
    <w:rsid w:val="0041453D"/>
    <w:rsid w:val="00414561"/>
    <w:rsid w:val="00414E50"/>
    <w:rsid w:val="00416F40"/>
    <w:rsid w:val="00417ABE"/>
    <w:rsid w:val="00423D78"/>
    <w:rsid w:val="00424231"/>
    <w:rsid w:val="00425265"/>
    <w:rsid w:val="00425EB1"/>
    <w:rsid w:val="00426436"/>
    <w:rsid w:val="00427B52"/>
    <w:rsid w:val="004306AF"/>
    <w:rsid w:val="00433F55"/>
    <w:rsid w:val="00434C48"/>
    <w:rsid w:val="00434D4A"/>
    <w:rsid w:val="00436E9F"/>
    <w:rsid w:val="00440258"/>
    <w:rsid w:val="00444048"/>
    <w:rsid w:val="00444532"/>
    <w:rsid w:val="00444E56"/>
    <w:rsid w:val="00447518"/>
    <w:rsid w:val="00447CFF"/>
    <w:rsid w:val="004503FC"/>
    <w:rsid w:val="004511B7"/>
    <w:rsid w:val="00451CC0"/>
    <w:rsid w:val="00451F8E"/>
    <w:rsid w:val="00453881"/>
    <w:rsid w:val="00454F77"/>
    <w:rsid w:val="00455E54"/>
    <w:rsid w:val="00456F8A"/>
    <w:rsid w:val="0045790B"/>
    <w:rsid w:val="00457C4B"/>
    <w:rsid w:val="0046031B"/>
    <w:rsid w:val="0046208D"/>
    <w:rsid w:val="00465DD5"/>
    <w:rsid w:val="00466A2C"/>
    <w:rsid w:val="004670C2"/>
    <w:rsid w:val="004673D8"/>
    <w:rsid w:val="0046751C"/>
    <w:rsid w:val="004676F1"/>
    <w:rsid w:val="0047252C"/>
    <w:rsid w:val="0047530C"/>
    <w:rsid w:val="00475F01"/>
    <w:rsid w:val="00480BE5"/>
    <w:rsid w:val="00481628"/>
    <w:rsid w:val="004825D2"/>
    <w:rsid w:val="004828FB"/>
    <w:rsid w:val="004866FD"/>
    <w:rsid w:val="0049044C"/>
    <w:rsid w:val="00495FDA"/>
    <w:rsid w:val="0049651D"/>
    <w:rsid w:val="004A3504"/>
    <w:rsid w:val="004A4BEF"/>
    <w:rsid w:val="004A6653"/>
    <w:rsid w:val="004A69F2"/>
    <w:rsid w:val="004B067F"/>
    <w:rsid w:val="004B2310"/>
    <w:rsid w:val="004B34BA"/>
    <w:rsid w:val="004B40DE"/>
    <w:rsid w:val="004B50B6"/>
    <w:rsid w:val="004B5FEF"/>
    <w:rsid w:val="004C0EC8"/>
    <w:rsid w:val="004C2BD4"/>
    <w:rsid w:val="004C5A8A"/>
    <w:rsid w:val="004C6D3F"/>
    <w:rsid w:val="004D0248"/>
    <w:rsid w:val="004D1F51"/>
    <w:rsid w:val="004D1F59"/>
    <w:rsid w:val="004D6AED"/>
    <w:rsid w:val="004D6E49"/>
    <w:rsid w:val="004D7D46"/>
    <w:rsid w:val="004E3F0A"/>
    <w:rsid w:val="004E4189"/>
    <w:rsid w:val="004E4FA1"/>
    <w:rsid w:val="004E6411"/>
    <w:rsid w:val="004E6BA0"/>
    <w:rsid w:val="004E70EA"/>
    <w:rsid w:val="004E75BC"/>
    <w:rsid w:val="004E7A98"/>
    <w:rsid w:val="004F119A"/>
    <w:rsid w:val="004F2F5B"/>
    <w:rsid w:val="004F39FD"/>
    <w:rsid w:val="004F5981"/>
    <w:rsid w:val="004F6221"/>
    <w:rsid w:val="004F7F50"/>
    <w:rsid w:val="005012D8"/>
    <w:rsid w:val="00502F8C"/>
    <w:rsid w:val="0050491D"/>
    <w:rsid w:val="00505779"/>
    <w:rsid w:val="00506A28"/>
    <w:rsid w:val="00507BE0"/>
    <w:rsid w:val="00514BA0"/>
    <w:rsid w:val="00514C7E"/>
    <w:rsid w:val="00515B7D"/>
    <w:rsid w:val="00517996"/>
    <w:rsid w:val="0052337B"/>
    <w:rsid w:val="00523487"/>
    <w:rsid w:val="00526D19"/>
    <w:rsid w:val="00526EEC"/>
    <w:rsid w:val="00530B47"/>
    <w:rsid w:val="00530D69"/>
    <w:rsid w:val="00531496"/>
    <w:rsid w:val="00536013"/>
    <w:rsid w:val="00536135"/>
    <w:rsid w:val="0053637B"/>
    <w:rsid w:val="0054020C"/>
    <w:rsid w:val="00541316"/>
    <w:rsid w:val="00541FA9"/>
    <w:rsid w:val="00542D7E"/>
    <w:rsid w:val="0054613B"/>
    <w:rsid w:val="00547EA5"/>
    <w:rsid w:val="00550901"/>
    <w:rsid w:val="00551D1A"/>
    <w:rsid w:val="00552421"/>
    <w:rsid w:val="00552718"/>
    <w:rsid w:val="005559B6"/>
    <w:rsid w:val="0056006E"/>
    <w:rsid w:val="0056123D"/>
    <w:rsid w:val="005615C7"/>
    <w:rsid w:val="00565DD4"/>
    <w:rsid w:val="00566560"/>
    <w:rsid w:val="00566F4B"/>
    <w:rsid w:val="0056704F"/>
    <w:rsid w:val="00567610"/>
    <w:rsid w:val="005719FF"/>
    <w:rsid w:val="00572262"/>
    <w:rsid w:val="005735EB"/>
    <w:rsid w:val="00575F8D"/>
    <w:rsid w:val="005767F5"/>
    <w:rsid w:val="00580277"/>
    <w:rsid w:val="0058111C"/>
    <w:rsid w:val="005819C4"/>
    <w:rsid w:val="0058325A"/>
    <w:rsid w:val="005835BE"/>
    <w:rsid w:val="005858A2"/>
    <w:rsid w:val="00586784"/>
    <w:rsid w:val="00586D51"/>
    <w:rsid w:val="005923C6"/>
    <w:rsid w:val="005931F9"/>
    <w:rsid w:val="005943C1"/>
    <w:rsid w:val="0059503B"/>
    <w:rsid w:val="005A1449"/>
    <w:rsid w:val="005A1754"/>
    <w:rsid w:val="005A298D"/>
    <w:rsid w:val="005A2C3F"/>
    <w:rsid w:val="005A352A"/>
    <w:rsid w:val="005A4A6F"/>
    <w:rsid w:val="005A5379"/>
    <w:rsid w:val="005B0D65"/>
    <w:rsid w:val="005B10FB"/>
    <w:rsid w:val="005B1705"/>
    <w:rsid w:val="005B1E88"/>
    <w:rsid w:val="005B38C7"/>
    <w:rsid w:val="005B56C8"/>
    <w:rsid w:val="005B6256"/>
    <w:rsid w:val="005C15E9"/>
    <w:rsid w:val="005C46ED"/>
    <w:rsid w:val="005C4FC2"/>
    <w:rsid w:val="005D1069"/>
    <w:rsid w:val="005D16DD"/>
    <w:rsid w:val="005D1786"/>
    <w:rsid w:val="005D387C"/>
    <w:rsid w:val="005D3FD8"/>
    <w:rsid w:val="005D593E"/>
    <w:rsid w:val="005D6CED"/>
    <w:rsid w:val="005D7A2F"/>
    <w:rsid w:val="005E0D21"/>
    <w:rsid w:val="005E1481"/>
    <w:rsid w:val="005E2119"/>
    <w:rsid w:val="005E27C8"/>
    <w:rsid w:val="005F04ED"/>
    <w:rsid w:val="005F054B"/>
    <w:rsid w:val="005F0F6B"/>
    <w:rsid w:val="005F33A3"/>
    <w:rsid w:val="005F455F"/>
    <w:rsid w:val="005F7E28"/>
    <w:rsid w:val="00601091"/>
    <w:rsid w:val="00601DCC"/>
    <w:rsid w:val="00606946"/>
    <w:rsid w:val="00606B3F"/>
    <w:rsid w:val="00607949"/>
    <w:rsid w:val="00607EDE"/>
    <w:rsid w:val="00611552"/>
    <w:rsid w:val="00611D2E"/>
    <w:rsid w:val="006124BF"/>
    <w:rsid w:val="00612B05"/>
    <w:rsid w:val="00612D3F"/>
    <w:rsid w:val="0061361B"/>
    <w:rsid w:val="00620D3A"/>
    <w:rsid w:val="00625952"/>
    <w:rsid w:val="0062635D"/>
    <w:rsid w:val="00626AAE"/>
    <w:rsid w:val="00627EE5"/>
    <w:rsid w:val="006308D3"/>
    <w:rsid w:val="00631C27"/>
    <w:rsid w:val="00631E74"/>
    <w:rsid w:val="0063324A"/>
    <w:rsid w:val="0063451A"/>
    <w:rsid w:val="00636AF9"/>
    <w:rsid w:val="00641F9B"/>
    <w:rsid w:val="00643926"/>
    <w:rsid w:val="0064410D"/>
    <w:rsid w:val="00647622"/>
    <w:rsid w:val="006532A2"/>
    <w:rsid w:val="006537C8"/>
    <w:rsid w:val="006553DF"/>
    <w:rsid w:val="00655FCE"/>
    <w:rsid w:val="00657AB9"/>
    <w:rsid w:val="006612FC"/>
    <w:rsid w:val="00661DB6"/>
    <w:rsid w:val="0066331E"/>
    <w:rsid w:val="006636FF"/>
    <w:rsid w:val="0066396B"/>
    <w:rsid w:val="00664CAC"/>
    <w:rsid w:val="00670F2F"/>
    <w:rsid w:val="00671114"/>
    <w:rsid w:val="00671846"/>
    <w:rsid w:val="00673AF6"/>
    <w:rsid w:val="00674E21"/>
    <w:rsid w:val="006752F4"/>
    <w:rsid w:val="006759AB"/>
    <w:rsid w:val="00677E26"/>
    <w:rsid w:val="00681802"/>
    <w:rsid w:val="006825B9"/>
    <w:rsid w:val="0068272C"/>
    <w:rsid w:val="006832BF"/>
    <w:rsid w:val="0068602A"/>
    <w:rsid w:val="00686C06"/>
    <w:rsid w:val="00687016"/>
    <w:rsid w:val="006872B5"/>
    <w:rsid w:val="006902B3"/>
    <w:rsid w:val="0069055F"/>
    <w:rsid w:val="00694FA8"/>
    <w:rsid w:val="00696214"/>
    <w:rsid w:val="006A41B5"/>
    <w:rsid w:val="006A4C6D"/>
    <w:rsid w:val="006A7330"/>
    <w:rsid w:val="006A777F"/>
    <w:rsid w:val="006B3089"/>
    <w:rsid w:val="006B66DE"/>
    <w:rsid w:val="006B73BF"/>
    <w:rsid w:val="006C263A"/>
    <w:rsid w:val="006C50AE"/>
    <w:rsid w:val="006C7562"/>
    <w:rsid w:val="006C7FE1"/>
    <w:rsid w:val="006D0238"/>
    <w:rsid w:val="006D1D11"/>
    <w:rsid w:val="006D213D"/>
    <w:rsid w:val="006D3480"/>
    <w:rsid w:val="006D3913"/>
    <w:rsid w:val="006D4403"/>
    <w:rsid w:val="006E09AF"/>
    <w:rsid w:val="006E2841"/>
    <w:rsid w:val="006E2DAF"/>
    <w:rsid w:val="006E2EA4"/>
    <w:rsid w:val="006E3885"/>
    <w:rsid w:val="006E38DF"/>
    <w:rsid w:val="006E6879"/>
    <w:rsid w:val="006E7A36"/>
    <w:rsid w:val="006F02BF"/>
    <w:rsid w:val="006F0B29"/>
    <w:rsid w:val="006F0CAB"/>
    <w:rsid w:val="006F3112"/>
    <w:rsid w:val="006F3A54"/>
    <w:rsid w:val="006F3DB9"/>
    <w:rsid w:val="00700F65"/>
    <w:rsid w:val="0070303B"/>
    <w:rsid w:val="007050CD"/>
    <w:rsid w:val="00713F6C"/>
    <w:rsid w:val="00714741"/>
    <w:rsid w:val="0071648D"/>
    <w:rsid w:val="00720B6E"/>
    <w:rsid w:val="00722299"/>
    <w:rsid w:val="00724A03"/>
    <w:rsid w:val="007256CF"/>
    <w:rsid w:val="00727472"/>
    <w:rsid w:val="00727511"/>
    <w:rsid w:val="00727688"/>
    <w:rsid w:val="00731AD0"/>
    <w:rsid w:val="007339A0"/>
    <w:rsid w:val="00737103"/>
    <w:rsid w:val="00737E3A"/>
    <w:rsid w:val="00742F97"/>
    <w:rsid w:val="0074347D"/>
    <w:rsid w:val="007435FE"/>
    <w:rsid w:val="007448B5"/>
    <w:rsid w:val="0074530D"/>
    <w:rsid w:val="007503A8"/>
    <w:rsid w:val="00750CF9"/>
    <w:rsid w:val="007518CB"/>
    <w:rsid w:val="00751C8D"/>
    <w:rsid w:val="00752594"/>
    <w:rsid w:val="00752748"/>
    <w:rsid w:val="0075506C"/>
    <w:rsid w:val="007553E3"/>
    <w:rsid w:val="00756AB5"/>
    <w:rsid w:val="00756D7A"/>
    <w:rsid w:val="00757E35"/>
    <w:rsid w:val="007651EF"/>
    <w:rsid w:val="00765E97"/>
    <w:rsid w:val="00766CAF"/>
    <w:rsid w:val="00767368"/>
    <w:rsid w:val="007679E2"/>
    <w:rsid w:val="00770B07"/>
    <w:rsid w:val="00770E95"/>
    <w:rsid w:val="00771019"/>
    <w:rsid w:val="00772385"/>
    <w:rsid w:val="00773850"/>
    <w:rsid w:val="00773FD6"/>
    <w:rsid w:val="0077517E"/>
    <w:rsid w:val="00775DAC"/>
    <w:rsid w:val="00780D3D"/>
    <w:rsid w:val="00780FC1"/>
    <w:rsid w:val="00784F7D"/>
    <w:rsid w:val="007879EE"/>
    <w:rsid w:val="00791D2C"/>
    <w:rsid w:val="00791F72"/>
    <w:rsid w:val="00794514"/>
    <w:rsid w:val="00794925"/>
    <w:rsid w:val="00797864"/>
    <w:rsid w:val="007A0839"/>
    <w:rsid w:val="007A1418"/>
    <w:rsid w:val="007A6F4B"/>
    <w:rsid w:val="007A6FB8"/>
    <w:rsid w:val="007A70D9"/>
    <w:rsid w:val="007B1DA4"/>
    <w:rsid w:val="007B2666"/>
    <w:rsid w:val="007B2BF1"/>
    <w:rsid w:val="007B3267"/>
    <w:rsid w:val="007B6700"/>
    <w:rsid w:val="007C2174"/>
    <w:rsid w:val="007C2691"/>
    <w:rsid w:val="007C2986"/>
    <w:rsid w:val="007C395B"/>
    <w:rsid w:val="007C3E3C"/>
    <w:rsid w:val="007C6067"/>
    <w:rsid w:val="007C7035"/>
    <w:rsid w:val="007C706B"/>
    <w:rsid w:val="007C772A"/>
    <w:rsid w:val="007D1EF1"/>
    <w:rsid w:val="007D2E98"/>
    <w:rsid w:val="007D391F"/>
    <w:rsid w:val="007D55FA"/>
    <w:rsid w:val="007D5ECD"/>
    <w:rsid w:val="007D7234"/>
    <w:rsid w:val="007E0DFF"/>
    <w:rsid w:val="007E37F5"/>
    <w:rsid w:val="007E4665"/>
    <w:rsid w:val="007E4A00"/>
    <w:rsid w:val="007E7FBE"/>
    <w:rsid w:val="007F18AD"/>
    <w:rsid w:val="007F28AA"/>
    <w:rsid w:val="00801A38"/>
    <w:rsid w:val="00801A3C"/>
    <w:rsid w:val="00803076"/>
    <w:rsid w:val="00804587"/>
    <w:rsid w:val="00804668"/>
    <w:rsid w:val="00804D0E"/>
    <w:rsid w:val="00804F78"/>
    <w:rsid w:val="00815B70"/>
    <w:rsid w:val="00815ED4"/>
    <w:rsid w:val="0081799C"/>
    <w:rsid w:val="00822051"/>
    <w:rsid w:val="0082245E"/>
    <w:rsid w:val="00822B74"/>
    <w:rsid w:val="00826546"/>
    <w:rsid w:val="00827811"/>
    <w:rsid w:val="00827D16"/>
    <w:rsid w:val="00831BDD"/>
    <w:rsid w:val="00833658"/>
    <w:rsid w:val="008337A4"/>
    <w:rsid w:val="0083389D"/>
    <w:rsid w:val="00834065"/>
    <w:rsid w:val="008346CF"/>
    <w:rsid w:val="0084159D"/>
    <w:rsid w:val="008465E7"/>
    <w:rsid w:val="00846A7D"/>
    <w:rsid w:val="00861C2C"/>
    <w:rsid w:val="0086240A"/>
    <w:rsid w:val="00863432"/>
    <w:rsid w:val="0086434A"/>
    <w:rsid w:val="00865F4F"/>
    <w:rsid w:val="00867DFD"/>
    <w:rsid w:val="00870287"/>
    <w:rsid w:val="00873184"/>
    <w:rsid w:val="0087452F"/>
    <w:rsid w:val="00876558"/>
    <w:rsid w:val="00877D91"/>
    <w:rsid w:val="00880F43"/>
    <w:rsid w:val="00882FF3"/>
    <w:rsid w:val="00883E35"/>
    <w:rsid w:val="00884333"/>
    <w:rsid w:val="00884427"/>
    <w:rsid w:val="008852D9"/>
    <w:rsid w:val="00885BAD"/>
    <w:rsid w:val="00887C5D"/>
    <w:rsid w:val="00887F07"/>
    <w:rsid w:val="00891542"/>
    <w:rsid w:val="0089344D"/>
    <w:rsid w:val="00896243"/>
    <w:rsid w:val="008A04D5"/>
    <w:rsid w:val="008A11B8"/>
    <w:rsid w:val="008A38D7"/>
    <w:rsid w:val="008A3E1B"/>
    <w:rsid w:val="008A3E43"/>
    <w:rsid w:val="008A4AF7"/>
    <w:rsid w:val="008A5629"/>
    <w:rsid w:val="008A740E"/>
    <w:rsid w:val="008B2684"/>
    <w:rsid w:val="008B3ECB"/>
    <w:rsid w:val="008B472F"/>
    <w:rsid w:val="008B60CD"/>
    <w:rsid w:val="008C5885"/>
    <w:rsid w:val="008C58C5"/>
    <w:rsid w:val="008D0538"/>
    <w:rsid w:val="008D0B49"/>
    <w:rsid w:val="008D2932"/>
    <w:rsid w:val="008D3542"/>
    <w:rsid w:val="008D4CAC"/>
    <w:rsid w:val="008D5C51"/>
    <w:rsid w:val="008E002A"/>
    <w:rsid w:val="008E15AF"/>
    <w:rsid w:val="008E2D43"/>
    <w:rsid w:val="008E6928"/>
    <w:rsid w:val="008F00A2"/>
    <w:rsid w:val="008F15EC"/>
    <w:rsid w:val="008F1A31"/>
    <w:rsid w:val="008F1CC5"/>
    <w:rsid w:val="008F45B7"/>
    <w:rsid w:val="008F6922"/>
    <w:rsid w:val="008F6EAA"/>
    <w:rsid w:val="008F7CCA"/>
    <w:rsid w:val="0090002D"/>
    <w:rsid w:val="009004F6"/>
    <w:rsid w:val="009008BB"/>
    <w:rsid w:val="00901CE6"/>
    <w:rsid w:val="00901E80"/>
    <w:rsid w:val="009058CE"/>
    <w:rsid w:val="00907F54"/>
    <w:rsid w:val="00910972"/>
    <w:rsid w:val="00911A57"/>
    <w:rsid w:val="00911D86"/>
    <w:rsid w:val="00911EFD"/>
    <w:rsid w:val="00912473"/>
    <w:rsid w:val="00912B73"/>
    <w:rsid w:val="00913A3D"/>
    <w:rsid w:val="00913B3A"/>
    <w:rsid w:val="00913DB0"/>
    <w:rsid w:val="0091525D"/>
    <w:rsid w:val="009157A3"/>
    <w:rsid w:val="0091665A"/>
    <w:rsid w:val="0092048E"/>
    <w:rsid w:val="0092064F"/>
    <w:rsid w:val="00920F8E"/>
    <w:rsid w:val="009211BE"/>
    <w:rsid w:val="00921CF4"/>
    <w:rsid w:val="00924FC8"/>
    <w:rsid w:val="00925061"/>
    <w:rsid w:val="0092578C"/>
    <w:rsid w:val="009271FB"/>
    <w:rsid w:val="00927421"/>
    <w:rsid w:val="00927CBC"/>
    <w:rsid w:val="009303B9"/>
    <w:rsid w:val="009311CF"/>
    <w:rsid w:val="00931552"/>
    <w:rsid w:val="00932CAD"/>
    <w:rsid w:val="009338C5"/>
    <w:rsid w:val="009339BE"/>
    <w:rsid w:val="00933A7A"/>
    <w:rsid w:val="00943159"/>
    <w:rsid w:val="009431C6"/>
    <w:rsid w:val="0094440A"/>
    <w:rsid w:val="009461FB"/>
    <w:rsid w:val="00947D87"/>
    <w:rsid w:val="00950C9A"/>
    <w:rsid w:val="0095410C"/>
    <w:rsid w:val="00954358"/>
    <w:rsid w:val="009562F5"/>
    <w:rsid w:val="00957410"/>
    <w:rsid w:val="0096121A"/>
    <w:rsid w:val="00961D3F"/>
    <w:rsid w:val="00962A00"/>
    <w:rsid w:val="00963489"/>
    <w:rsid w:val="00964108"/>
    <w:rsid w:val="00965C6A"/>
    <w:rsid w:val="009706D6"/>
    <w:rsid w:val="0097107F"/>
    <w:rsid w:val="00971BEC"/>
    <w:rsid w:val="00972163"/>
    <w:rsid w:val="00973150"/>
    <w:rsid w:val="009735A2"/>
    <w:rsid w:val="00974DB7"/>
    <w:rsid w:val="00980270"/>
    <w:rsid w:val="00982147"/>
    <w:rsid w:val="00982FCC"/>
    <w:rsid w:val="00985EB6"/>
    <w:rsid w:val="00990902"/>
    <w:rsid w:val="009911D4"/>
    <w:rsid w:val="00992658"/>
    <w:rsid w:val="00992941"/>
    <w:rsid w:val="00993E3F"/>
    <w:rsid w:val="0099419C"/>
    <w:rsid w:val="00994C95"/>
    <w:rsid w:val="00996FE5"/>
    <w:rsid w:val="009A28C6"/>
    <w:rsid w:val="009A3950"/>
    <w:rsid w:val="009A4A46"/>
    <w:rsid w:val="009A4F6E"/>
    <w:rsid w:val="009A6523"/>
    <w:rsid w:val="009B0C32"/>
    <w:rsid w:val="009B1F79"/>
    <w:rsid w:val="009B1FC0"/>
    <w:rsid w:val="009B3988"/>
    <w:rsid w:val="009B3B8C"/>
    <w:rsid w:val="009B40A1"/>
    <w:rsid w:val="009B43DC"/>
    <w:rsid w:val="009B7F09"/>
    <w:rsid w:val="009C0888"/>
    <w:rsid w:val="009C1C85"/>
    <w:rsid w:val="009C2543"/>
    <w:rsid w:val="009C26FA"/>
    <w:rsid w:val="009C3750"/>
    <w:rsid w:val="009C6D7F"/>
    <w:rsid w:val="009D085B"/>
    <w:rsid w:val="009D0D21"/>
    <w:rsid w:val="009D1C36"/>
    <w:rsid w:val="009D1D0B"/>
    <w:rsid w:val="009D1D6F"/>
    <w:rsid w:val="009D63BF"/>
    <w:rsid w:val="009D7000"/>
    <w:rsid w:val="009E5B1C"/>
    <w:rsid w:val="009E6144"/>
    <w:rsid w:val="009E623E"/>
    <w:rsid w:val="009E65F7"/>
    <w:rsid w:val="009E7B5C"/>
    <w:rsid w:val="009F0042"/>
    <w:rsid w:val="009F0EEC"/>
    <w:rsid w:val="009F1205"/>
    <w:rsid w:val="009F2302"/>
    <w:rsid w:val="009F2422"/>
    <w:rsid w:val="009F41D2"/>
    <w:rsid w:val="009F46EC"/>
    <w:rsid w:val="009F46FD"/>
    <w:rsid w:val="009F4759"/>
    <w:rsid w:val="009F493D"/>
    <w:rsid w:val="009F5027"/>
    <w:rsid w:val="009F762B"/>
    <w:rsid w:val="00A0022F"/>
    <w:rsid w:val="00A03D5C"/>
    <w:rsid w:val="00A049F9"/>
    <w:rsid w:val="00A07ABD"/>
    <w:rsid w:val="00A102DE"/>
    <w:rsid w:val="00A124A4"/>
    <w:rsid w:val="00A151F6"/>
    <w:rsid w:val="00A15E35"/>
    <w:rsid w:val="00A21A14"/>
    <w:rsid w:val="00A245B3"/>
    <w:rsid w:val="00A2798A"/>
    <w:rsid w:val="00A30955"/>
    <w:rsid w:val="00A30C56"/>
    <w:rsid w:val="00A31101"/>
    <w:rsid w:val="00A31344"/>
    <w:rsid w:val="00A31E79"/>
    <w:rsid w:val="00A32281"/>
    <w:rsid w:val="00A32F97"/>
    <w:rsid w:val="00A34E55"/>
    <w:rsid w:val="00A35638"/>
    <w:rsid w:val="00A36163"/>
    <w:rsid w:val="00A36656"/>
    <w:rsid w:val="00A37C21"/>
    <w:rsid w:val="00A41B8E"/>
    <w:rsid w:val="00A425E0"/>
    <w:rsid w:val="00A43D6F"/>
    <w:rsid w:val="00A461B7"/>
    <w:rsid w:val="00A51D25"/>
    <w:rsid w:val="00A52776"/>
    <w:rsid w:val="00A538CC"/>
    <w:rsid w:val="00A5411E"/>
    <w:rsid w:val="00A55506"/>
    <w:rsid w:val="00A55527"/>
    <w:rsid w:val="00A56854"/>
    <w:rsid w:val="00A57B28"/>
    <w:rsid w:val="00A605E1"/>
    <w:rsid w:val="00A60C45"/>
    <w:rsid w:val="00A61A70"/>
    <w:rsid w:val="00A62EEB"/>
    <w:rsid w:val="00A650CE"/>
    <w:rsid w:val="00A657A3"/>
    <w:rsid w:val="00A67623"/>
    <w:rsid w:val="00A67CE8"/>
    <w:rsid w:val="00A70C76"/>
    <w:rsid w:val="00A70D32"/>
    <w:rsid w:val="00A716BC"/>
    <w:rsid w:val="00A71FCB"/>
    <w:rsid w:val="00A77051"/>
    <w:rsid w:val="00A8025D"/>
    <w:rsid w:val="00A829A3"/>
    <w:rsid w:val="00A83BAF"/>
    <w:rsid w:val="00A853A7"/>
    <w:rsid w:val="00A8649D"/>
    <w:rsid w:val="00A877B0"/>
    <w:rsid w:val="00A915B9"/>
    <w:rsid w:val="00A93587"/>
    <w:rsid w:val="00A93E4F"/>
    <w:rsid w:val="00A94DBB"/>
    <w:rsid w:val="00A970A0"/>
    <w:rsid w:val="00A9789E"/>
    <w:rsid w:val="00AA2C2E"/>
    <w:rsid w:val="00AA59D0"/>
    <w:rsid w:val="00AB0972"/>
    <w:rsid w:val="00AB338C"/>
    <w:rsid w:val="00AB353A"/>
    <w:rsid w:val="00AB4C98"/>
    <w:rsid w:val="00AB54DE"/>
    <w:rsid w:val="00AB580A"/>
    <w:rsid w:val="00AB5ADB"/>
    <w:rsid w:val="00AB70B1"/>
    <w:rsid w:val="00AC069B"/>
    <w:rsid w:val="00AC17C3"/>
    <w:rsid w:val="00AC3F8A"/>
    <w:rsid w:val="00AC3FB7"/>
    <w:rsid w:val="00AC4294"/>
    <w:rsid w:val="00AC7922"/>
    <w:rsid w:val="00AC7D54"/>
    <w:rsid w:val="00AD073E"/>
    <w:rsid w:val="00AD4EFD"/>
    <w:rsid w:val="00AD5CA3"/>
    <w:rsid w:val="00AE2C59"/>
    <w:rsid w:val="00AE622C"/>
    <w:rsid w:val="00AE7A70"/>
    <w:rsid w:val="00AE7BEE"/>
    <w:rsid w:val="00AF1010"/>
    <w:rsid w:val="00AF180D"/>
    <w:rsid w:val="00AF3415"/>
    <w:rsid w:val="00AF51C5"/>
    <w:rsid w:val="00AF720F"/>
    <w:rsid w:val="00B022FF"/>
    <w:rsid w:val="00B04693"/>
    <w:rsid w:val="00B0688E"/>
    <w:rsid w:val="00B07A3F"/>
    <w:rsid w:val="00B07B00"/>
    <w:rsid w:val="00B10287"/>
    <w:rsid w:val="00B10CA2"/>
    <w:rsid w:val="00B1192E"/>
    <w:rsid w:val="00B20EB6"/>
    <w:rsid w:val="00B22996"/>
    <w:rsid w:val="00B22C62"/>
    <w:rsid w:val="00B2436D"/>
    <w:rsid w:val="00B24A3F"/>
    <w:rsid w:val="00B25D35"/>
    <w:rsid w:val="00B265A6"/>
    <w:rsid w:val="00B34A1C"/>
    <w:rsid w:val="00B4070B"/>
    <w:rsid w:val="00B442D5"/>
    <w:rsid w:val="00B444C6"/>
    <w:rsid w:val="00B470DA"/>
    <w:rsid w:val="00B471C8"/>
    <w:rsid w:val="00B47625"/>
    <w:rsid w:val="00B50569"/>
    <w:rsid w:val="00B51E53"/>
    <w:rsid w:val="00B52414"/>
    <w:rsid w:val="00B56DCC"/>
    <w:rsid w:val="00B60251"/>
    <w:rsid w:val="00B6031B"/>
    <w:rsid w:val="00B63D16"/>
    <w:rsid w:val="00B63E7D"/>
    <w:rsid w:val="00B64205"/>
    <w:rsid w:val="00B6544C"/>
    <w:rsid w:val="00B70AB0"/>
    <w:rsid w:val="00B735AE"/>
    <w:rsid w:val="00B735FE"/>
    <w:rsid w:val="00B761FA"/>
    <w:rsid w:val="00B76BE6"/>
    <w:rsid w:val="00B81497"/>
    <w:rsid w:val="00B8214E"/>
    <w:rsid w:val="00B8427C"/>
    <w:rsid w:val="00B845A1"/>
    <w:rsid w:val="00B850D9"/>
    <w:rsid w:val="00B8544F"/>
    <w:rsid w:val="00B87368"/>
    <w:rsid w:val="00B87AB3"/>
    <w:rsid w:val="00B90F73"/>
    <w:rsid w:val="00B929FC"/>
    <w:rsid w:val="00B95394"/>
    <w:rsid w:val="00B97827"/>
    <w:rsid w:val="00B978B0"/>
    <w:rsid w:val="00BA3891"/>
    <w:rsid w:val="00BA57F1"/>
    <w:rsid w:val="00BB2E53"/>
    <w:rsid w:val="00BB44FC"/>
    <w:rsid w:val="00BB66D6"/>
    <w:rsid w:val="00BB754A"/>
    <w:rsid w:val="00BB75EE"/>
    <w:rsid w:val="00BC5817"/>
    <w:rsid w:val="00BC75CB"/>
    <w:rsid w:val="00BD0523"/>
    <w:rsid w:val="00BD05AD"/>
    <w:rsid w:val="00BD119E"/>
    <w:rsid w:val="00BD1640"/>
    <w:rsid w:val="00BD21EA"/>
    <w:rsid w:val="00BD3757"/>
    <w:rsid w:val="00BD4A81"/>
    <w:rsid w:val="00BD703F"/>
    <w:rsid w:val="00BE03D9"/>
    <w:rsid w:val="00BE2591"/>
    <w:rsid w:val="00BE3692"/>
    <w:rsid w:val="00BF0460"/>
    <w:rsid w:val="00BF7706"/>
    <w:rsid w:val="00C01320"/>
    <w:rsid w:val="00C03895"/>
    <w:rsid w:val="00C03B4F"/>
    <w:rsid w:val="00C04345"/>
    <w:rsid w:val="00C0507B"/>
    <w:rsid w:val="00C10B51"/>
    <w:rsid w:val="00C122A3"/>
    <w:rsid w:val="00C1256A"/>
    <w:rsid w:val="00C14AC4"/>
    <w:rsid w:val="00C15CD4"/>
    <w:rsid w:val="00C16AB1"/>
    <w:rsid w:val="00C1719E"/>
    <w:rsid w:val="00C20DB7"/>
    <w:rsid w:val="00C21B58"/>
    <w:rsid w:val="00C2305F"/>
    <w:rsid w:val="00C31F3D"/>
    <w:rsid w:val="00C34137"/>
    <w:rsid w:val="00C34A5B"/>
    <w:rsid w:val="00C34F28"/>
    <w:rsid w:val="00C3555B"/>
    <w:rsid w:val="00C358E0"/>
    <w:rsid w:val="00C3630D"/>
    <w:rsid w:val="00C37758"/>
    <w:rsid w:val="00C40443"/>
    <w:rsid w:val="00C42882"/>
    <w:rsid w:val="00C42E98"/>
    <w:rsid w:val="00C43527"/>
    <w:rsid w:val="00C4386D"/>
    <w:rsid w:val="00C43C56"/>
    <w:rsid w:val="00C44887"/>
    <w:rsid w:val="00C45A65"/>
    <w:rsid w:val="00C4783F"/>
    <w:rsid w:val="00C509E5"/>
    <w:rsid w:val="00C52B55"/>
    <w:rsid w:val="00C53D90"/>
    <w:rsid w:val="00C557DB"/>
    <w:rsid w:val="00C56CCB"/>
    <w:rsid w:val="00C57248"/>
    <w:rsid w:val="00C5749E"/>
    <w:rsid w:val="00C57962"/>
    <w:rsid w:val="00C57F63"/>
    <w:rsid w:val="00C601F9"/>
    <w:rsid w:val="00C618B2"/>
    <w:rsid w:val="00C70236"/>
    <w:rsid w:val="00C71866"/>
    <w:rsid w:val="00C720DD"/>
    <w:rsid w:val="00C7305D"/>
    <w:rsid w:val="00C73459"/>
    <w:rsid w:val="00C761D8"/>
    <w:rsid w:val="00C8295B"/>
    <w:rsid w:val="00C8301E"/>
    <w:rsid w:val="00C83A81"/>
    <w:rsid w:val="00C8428D"/>
    <w:rsid w:val="00C84DDE"/>
    <w:rsid w:val="00C855DD"/>
    <w:rsid w:val="00C857CB"/>
    <w:rsid w:val="00C87002"/>
    <w:rsid w:val="00C902CF"/>
    <w:rsid w:val="00C92716"/>
    <w:rsid w:val="00C93C6C"/>
    <w:rsid w:val="00C95C87"/>
    <w:rsid w:val="00C961B7"/>
    <w:rsid w:val="00C9786B"/>
    <w:rsid w:val="00C97EDC"/>
    <w:rsid w:val="00CA0522"/>
    <w:rsid w:val="00CB0C06"/>
    <w:rsid w:val="00CB1801"/>
    <w:rsid w:val="00CB1F96"/>
    <w:rsid w:val="00CB2BA5"/>
    <w:rsid w:val="00CB3F92"/>
    <w:rsid w:val="00CC0596"/>
    <w:rsid w:val="00CC09C7"/>
    <w:rsid w:val="00CC0A5D"/>
    <w:rsid w:val="00CC2F43"/>
    <w:rsid w:val="00CC34B5"/>
    <w:rsid w:val="00CC3C84"/>
    <w:rsid w:val="00CC431D"/>
    <w:rsid w:val="00CC4547"/>
    <w:rsid w:val="00CC4A3E"/>
    <w:rsid w:val="00CC5103"/>
    <w:rsid w:val="00CC6412"/>
    <w:rsid w:val="00CC7855"/>
    <w:rsid w:val="00CD22CD"/>
    <w:rsid w:val="00CD2E7C"/>
    <w:rsid w:val="00CD3EB7"/>
    <w:rsid w:val="00CD5747"/>
    <w:rsid w:val="00CD5D57"/>
    <w:rsid w:val="00CD6D6C"/>
    <w:rsid w:val="00CE0E3A"/>
    <w:rsid w:val="00CE381B"/>
    <w:rsid w:val="00CE3FC4"/>
    <w:rsid w:val="00CE7FEF"/>
    <w:rsid w:val="00CF13C4"/>
    <w:rsid w:val="00CF4776"/>
    <w:rsid w:val="00CF52D2"/>
    <w:rsid w:val="00CF5A21"/>
    <w:rsid w:val="00CF686B"/>
    <w:rsid w:val="00D01324"/>
    <w:rsid w:val="00D02016"/>
    <w:rsid w:val="00D02747"/>
    <w:rsid w:val="00D0508F"/>
    <w:rsid w:val="00D116A1"/>
    <w:rsid w:val="00D11796"/>
    <w:rsid w:val="00D133F0"/>
    <w:rsid w:val="00D14266"/>
    <w:rsid w:val="00D16028"/>
    <w:rsid w:val="00D1691F"/>
    <w:rsid w:val="00D24E81"/>
    <w:rsid w:val="00D25781"/>
    <w:rsid w:val="00D25C81"/>
    <w:rsid w:val="00D31BCC"/>
    <w:rsid w:val="00D341E9"/>
    <w:rsid w:val="00D345DA"/>
    <w:rsid w:val="00D41188"/>
    <w:rsid w:val="00D4185F"/>
    <w:rsid w:val="00D41FB1"/>
    <w:rsid w:val="00D4317F"/>
    <w:rsid w:val="00D435CC"/>
    <w:rsid w:val="00D439CB"/>
    <w:rsid w:val="00D45147"/>
    <w:rsid w:val="00D45ABB"/>
    <w:rsid w:val="00D50D36"/>
    <w:rsid w:val="00D5110F"/>
    <w:rsid w:val="00D5194D"/>
    <w:rsid w:val="00D528B2"/>
    <w:rsid w:val="00D54FDA"/>
    <w:rsid w:val="00D55112"/>
    <w:rsid w:val="00D55391"/>
    <w:rsid w:val="00D564BA"/>
    <w:rsid w:val="00D56CEC"/>
    <w:rsid w:val="00D57F65"/>
    <w:rsid w:val="00D604D2"/>
    <w:rsid w:val="00D60BFB"/>
    <w:rsid w:val="00D61CA9"/>
    <w:rsid w:val="00D62CFF"/>
    <w:rsid w:val="00D65A1B"/>
    <w:rsid w:val="00D706BE"/>
    <w:rsid w:val="00D72512"/>
    <w:rsid w:val="00D74E02"/>
    <w:rsid w:val="00D7500E"/>
    <w:rsid w:val="00D76D7C"/>
    <w:rsid w:val="00D80E24"/>
    <w:rsid w:val="00D8132D"/>
    <w:rsid w:val="00D82234"/>
    <w:rsid w:val="00D82F3A"/>
    <w:rsid w:val="00D83110"/>
    <w:rsid w:val="00D83483"/>
    <w:rsid w:val="00D84EBF"/>
    <w:rsid w:val="00D865A9"/>
    <w:rsid w:val="00D86891"/>
    <w:rsid w:val="00D93FCC"/>
    <w:rsid w:val="00D95CDC"/>
    <w:rsid w:val="00D964ED"/>
    <w:rsid w:val="00D96BC0"/>
    <w:rsid w:val="00D9739A"/>
    <w:rsid w:val="00DA0F84"/>
    <w:rsid w:val="00DA1176"/>
    <w:rsid w:val="00DA534A"/>
    <w:rsid w:val="00DA53B0"/>
    <w:rsid w:val="00DA7CE3"/>
    <w:rsid w:val="00DB01BC"/>
    <w:rsid w:val="00DB18A1"/>
    <w:rsid w:val="00DB24CE"/>
    <w:rsid w:val="00DB5B0E"/>
    <w:rsid w:val="00DB5CFD"/>
    <w:rsid w:val="00DB66B0"/>
    <w:rsid w:val="00DB732E"/>
    <w:rsid w:val="00DC22B0"/>
    <w:rsid w:val="00DC3016"/>
    <w:rsid w:val="00DC6ECB"/>
    <w:rsid w:val="00DC7531"/>
    <w:rsid w:val="00DD0B27"/>
    <w:rsid w:val="00DD222B"/>
    <w:rsid w:val="00DD648E"/>
    <w:rsid w:val="00DD7616"/>
    <w:rsid w:val="00DE487C"/>
    <w:rsid w:val="00DE5372"/>
    <w:rsid w:val="00DE5785"/>
    <w:rsid w:val="00DF4F27"/>
    <w:rsid w:val="00DF50F8"/>
    <w:rsid w:val="00DF54C2"/>
    <w:rsid w:val="00E00228"/>
    <w:rsid w:val="00E01DDB"/>
    <w:rsid w:val="00E02400"/>
    <w:rsid w:val="00E02A6B"/>
    <w:rsid w:val="00E04D19"/>
    <w:rsid w:val="00E064E1"/>
    <w:rsid w:val="00E10FAE"/>
    <w:rsid w:val="00E12205"/>
    <w:rsid w:val="00E14685"/>
    <w:rsid w:val="00E17BBA"/>
    <w:rsid w:val="00E22BB4"/>
    <w:rsid w:val="00E234EF"/>
    <w:rsid w:val="00E24C0B"/>
    <w:rsid w:val="00E266E6"/>
    <w:rsid w:val="00E304AC"/>
    <w:rsid w:val="00E30F2E"/>
    <w:rsid w:val="00E31C28"/>
    <w:rsid w:val="00E32AF7"/>
    <w:rsid w:val="00E3406E"/>
    <w:rsid w:val="00E34617"/>
    <w:rsid w:val="00E353FA"/>
    <w:rsid w:val="00E40C60"/>
    <w:rsid w:val="00E40F76"/>
    <w:rsid w:val="00E41028"/>
    <w:rsid w:val="00E43A54"/>
    <w:rsid w:val="00E459AF"/>
    <w:rsid w:val="00E5109B"/>
    <w:rsid w:val="00E5118C"/>
    <w:rsid w:val="00E51DA2"/>
    <w:rsid w:val="00E529F8"/>
    <w:rsid w:val="00E5721F"/>
    <w:rsid w:val="00E62EFA"/>
    <w:rsid w:val="00E64FF9"/>
    <w:rsid w:val="00E6536C"/>
    <w:rsid w:val="00E65599"/>
    <w:rsid w:val="00E658AC"/>
    <w:rsid w:val="00E65924"/>
    <w:rsid w:val="00E65EE2"/>
    <w:rsid w:val="00E7484E"/>
    <w:rsid w:val="00E74A38"/>
    <w:rsid w:val="00E74E5A"/>
    <w:rsid w:val="00E752B0"/>
    <w:rsid w:val="00E76864"/>
    <w:rsid w:val="00E80CFB"/>
    <w:rsid w:val="00E811F2"/>
    <w:rsid w:val="00E81A2C"/>
    <w:rsid w:val="00E8316A"/>
    <w:rsid w:val="00E84B11"/>
    <w:rsid w:val="00E860BC"/>
    <w:rsid w:val="00E863C9"/>
    <w:rsid w:val="00E86C5C"/>
    <w:rsid w:val="00E91B9D"/>
    <w:rsid w:val="00E9553B"/>
    <w:rsid w:val="00E95FEC"/>
    <w:rsid w:val="00E97CD8"/>
    <w:rsid w:val="00EA0241"/>
    <w:rsid w:val="00EA3072"/>
    <w:rsid w:val="00EA4BAE"/>
    <w:rsid w:val="00EA618A"/>
    <w:rsid w:val="00EA6E37"/>
    <w:rsid w:val="00EA70E9"/>
    <w:rsid w:val="00EB2335"/>
    <w:rsid w:val="00EB4B34"/>
    <w:rsid w:val="00EB7C57"/>
    <w:rsid w:val="00EC0841"/>
    <w:rsid w:val="00EC245D"/>
    <w:rsid w:val="00EC419D"/>
    <w:rsid w:val="00EC6A07"/>
    <w:rsid w:val="00EC72CD"/>
    <w:rsid w:val="00EC78FA"/>
    <w:rsid w:val="00EC7FC0"/>
    <w:rsid w:val="00ED51B5"/>
    <w:rsid w:val="00ED562B"/>
    <w:rsid w:val="00ED7C7F"/>
    <w:rsid w:val="00EE01C3"/>
    <w:rsid w:val="00EE1463"/>
    <w:rsid w:val="00EE1B93"/>
    <w:rsid w:val="00EE2B59"/>
    <w:rsid w:val="00EE2CB4"/>
    <w:rsid w:val="00EE6AF0"/>
    <w:rsid w:val="00EE7595"/>
    <w:rsid w:val="00EE7FC6"/>
    <w:rsid w:val="00EF012F"/>
    <w:rsid w:val="00EF0191"/>
    <w:rsid w:val="00EF042F"/>
    <w:rsid w:val="00EF07A6"/>
    <w:rsid w:val="00EF0D46"/>
    <w:rsid w:val="00EF5158"/>
    <w:rsid w:val="00EF6A0E"/>
    <w:rsid w:val="00F0034B"/>
    <w:rsid w:val="00F00903"/>
    <w:rsid w:val="00F02B9B"/>
    <w:rsid w:val="00F03611"/>
    <w:rsid w:val="00F05744"/>
    <w:rsid w:val="00F07243"/>
    <w:rsid w:val="00F11696"/>
    <w:rsid w:val="00F11791"/>
    <w:rsid w:val="00F120F8"/>
    <w:rsid w:val="00F14EA2"/>
    <w:rsid w:val="00F16106"/>
    <w:rsid w:val="00F162B9"/>
    <w:rsid w:val="00F245B1"/>
    <w:rsid w:val="00F26FEE"/>
    <w:rsid w:val="00F30771"/>
    <w:rsid w:val="00F314C3"/>
    <w:rsid w:val="00F31523"/>
    <w:rsid w:val="00F32BA7"/>
    <w:rsid w:val="00F335CF"/>
    <w:rsid w:val="00F37D1B"/>
    <w:rsid w:val="00F41570"/>
    <w:rsid w:val="00F42511"/>
    <w:rsid w:val="00F4281C"/>
    <w:rsid w:val="00F430D7"/>
    <w:rsid w:val="00F43D2E"/>
    <w:rsid w:val="00F441BD"/>
    <w:rsid w:val="00F45CC3"/>
    <w:rsid w:val="00F45EF5"/>
    <w:rsid w:val="00F5288B"/>
    <w:rsid w:val="00F537EB"/>
    <w:rsid w:val="00F538D5"/>
    <w:rsid w:val="00F546FC"/>
    <w:rsid w:val="00F559A6"/>
    <w:rsid w:val="00F5723B"/>
    <w:rsid w:val="00F6088B"/>
    <w:rsid w:val="00F60D6C"/>
    <w:rsid w:val="00F64463"/>
    <w:rsid w:val="00F649B9"/>
    <w:rsid w:val="00F72C9D"/>
    <w:rsid w:val="00F73DBA"/>
    <w:rsid w:val="00F74840"/>
    <w:rsid w:val="00F76357"/>
    <w:rsid w:val="00F764A7"/>
    <w:rsid w:val="00F76D9C"/>
    <w:rsid w:val="00F777DC"/>
    <w:rsid w:val="00F77EE7"/>
    <w:rsid w:val="00F81956"/>
    <w:rsid w:val="00F822FA"/>
    <w:rsid w:val="00F8259F"/>
    <w:rsid w:val="00F83B25"/>
    <w:rsid w:val="00F84586"/>
    <w:rsid w:val="00F85F49"/>
    <w:rsid w:val="00F9266C"/>
    <w:rsid w:val="00F92F45"/>
    <w:rsid w:val="00F9467F"/>
    <w:rsid w:val="00F94DF8"/>
    <w:rsid w:val="00FA10BE"/>
    <w:rsid w:val="00FA4AC5"/>
    <w:rsid w:val="00FA7706"/>
    <w:rsid w:val="00FB11D9"/>
    <w:rsid w:val="00FB389D"/>
    <w:rsid w:val="00FB4BA9"/>
    <w:rsid w:val="00FB5BC4"/>
    <w:rsid w:val="00FB794D"/>
    <w:rsid w:val="00FB7DBF"/>
    <w:rsid w:val="00FC17AE"/>
    <w:rsid w:val="00FC194D"/>
    <w:rsid w:val="00FC5294"/>
    <w:rsid w:val="00FC7536"/>
    <w:rsid w:val="00FD0514"/>
    <w:rsid w:val="00FD0803"/>
    <w:rsid w:val="00FD0DF1"/>
    <w:rsid w:val="00FD4795"/>
    <w:rsid w:val="00FD5D9D"/>
    <w:rsid w:val="00FD66C8"/>
    <w:rsid w:val="00FD7659"/>
    <w:rsid w:val="00FD7690"/>
    <w:rsid w:val="00FE006A"/>
    <w:rsid w:val="00FE04D7"/>
    <w:rsid w:val="00FE095A"/>
    <w:rsid w:val="00FE1DEC"/>
    <w:rsid w:val="00FE2F0A"/>
    <w:rsid w:val="00FE4ACA"/>
    <w:rsid w:val="00FF1B40"/>
    <w:rsid w:val="00FF1CDF"/>
    <w:rsid w:val="00FF2152"/>
    <w:rsid w:val="00FF229C"/>
    <w:rsid w:val="00FF27D2"/>
    <w:rsid w:val="00FF37BC"/>
    <w:rsid w:val="00FF461F"/>
    <w:rsid w:val="00FF4DF4"/>
    <w:rsid w:val="00FF650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E9F0C"/>
  <w15:docId w15:val="{EB6DC7CB-2EFB-4644-A039-E30C8EF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E3FC4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E3FC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2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F4F27"/>
    <w:rPr>
      <w:b/>
      <w:bCs/>
    </w:rPr>
  </w:style>
  <w:style w:type="table" w:styleId="Tabellasemplice-3">
    <w:name w:val="Plain Table 3"/>
    <w:basedOn w:val="Tabellanormale"/>
    <w:uiPriority w:val="43"/>
    <w:rsid w:val="00A30955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Carpredefinitoparagrafo"/>
    <w:rsid w:val="00E34617"/>
  </w:style>
  <w:style w:type="paragraph" w:customStyle="1" w:styleId="CorpoA">
    <w:name w:val="Corpo A"/>
    <w:rsid w:val="00C21B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4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054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64824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3628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1939">
                                      <w:blockQuote w:val="1"/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3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DI5zxRJeA&amp;feature=youtu.b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farroni@vrelations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delgiudice@vrelations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aluerelations.it/wp-content/uploads/2020/09/Posizione-Cal-Vita-Vacc.-RSV-Adulto_12-1-2024_DEF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alialongeva.it/wp-content/uploads/2024/07/DI-BRINO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EECA-8B1A-443A-BB1D-27E0E034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2</cp:revision>
  <cp:lastPrinted>2021-10-27T10:11:00Z</cp:lastPrinted>
  <dcterms:created xsi:type="dcterms:W3CDTF">2024-10-16T09:47:00Z</dcterms:created>
  <dcterms:modified xsi:type="dcterms:W3CDTF">2024-10-16T09:47:00Z</dcterms:modified>
</cp:coreProperties>
</file>